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rPr>
          <w:sz w:val="2"/>
          <w:szCs w:val="2"/>
        </w:rPr>
      </w:pPr>
      <w:r w:rsidDel="00000000" w:rsidR="00000000" w:rsidRPr="00000000">
        <w:rPr>
          <w:rtl w:val="0"/>
        </w:rPr>
      </w:r>
    </w:p>
    <w:tbl>
      <w:tblPr>
        <w:tblStyle w:val="Table1"/>
        <w:tblW w:w="9026.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13"/>
        <w:gridCol w:w="4513"/>
        <w:tblGridChange w:id="0">
          <w:tblGrid>
            <w:gridCol w:w="4513"/>
            <w:gridCol w:w="4513"/>
          </w:tblGrid>
        </w:tblGridChange>
      </w:tblGrid>
      <w:tr>
        <w:trPr>
          <w:cantSplit w:val="0"/>
          <w:trHeight w:val="774.5678710937501" w:hRule="atLeast"/>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bottom"/>
          </w:tcPr>
          <w:p w:rsidR="00000000" w:rsidDel="00000000" w:rsidP="00000000" w:rsidRDefault="00000000" w:rsidRPr="00000000" w14:paraId="00000002">
            <w:pPr>
              <w:rPr/>
            </w:pPr>
            <w:r w:rsidDel="00000000" w:rsidR="00000000" w:rsidRPr="00000000">
              <w:rPr/>
              <w:drawing>
                <wp:inline distB="114300" distT="114300" distL="114300" distR="114300">
                  <wp:extent cx="766763" cy="383381"/>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766763" cy="383381"/>
                          </a:xfrm>
                          <a:prstGeom prst="rect"/>
                          <a:ln/>
                        </pic:spPr>
                      </pic:pic>
                    </a:graphicData>
                  </a:graphic>
                </wp:inline>
              </w:drawing>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bottom"/>
          </w:tcPr>
          <w:p w:rsidR="00000000" w:rsidDel="00000000" w:rsidP="00000000" w:rsidRDefault="00000000" w:rsidRPr="00000000" w14:paraId="00000003">
            <w:pPr>
              <w:jc w:val="right"/>
              <w:rPr>
                <w:sz w:val="18"/>
                <w:szCs w:val="18"/>
              </w:rPr>
            </w:pPr>
            <w:r w:rsidDel="00000000" w:rsidR="00000000" w:rsidRPr="00000000">
              <w:rPr>
                <w:b w:val="1"/>
                <w:bCs w:val="1"/>
                <w:color w:val="cc0000"/>
                <w:rtl w:val="0"/>
              </w:rPr>
              <w:t xml:space="preserve">Història de la filosofia</w:t>
              <w:br w:type="textWrapping"/>
            </w:r>
            <w:r w:rsidDel="00000000" w:rsidR="00000000" w:rsidRPr="00000000">
              <w:rPr>
                <w:rtl w:val="0"/>
              </w:rPr>
              <w:t xml:space="preserve">La filosofia de Martha C. Nussbaum</w:t>
            </w:r>
            <w:r w:rsidDel="00000000" w:rsidR="00000000" w:rsidRPr="00000000">
              <w:rPr>
                <w:rtl w:val="0"/>
              </w:rPr>
            </w:r>
          </w:p>
        </w:tc>
      </w:tr>
    </w:tbl>
    <w:p w:rsidR="00000000" w:rsidDel="00000000" w:rsidP="00000000" w:rsidRDefault="00000000" w:rsidRPr="00000000" w14:paraId="0000000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b w:val="1"/>
          <w:bCs w:val="1"/>
          <w:i w:val="1"/>
          <w:iCs w:val="1"/>
          <w:sz w:val="38"/>
          <w:szCs w:val="38"/>
          <w:rtl w:val="0"/>
        </w:rPr>
        <w:t xml:space="preserve">Crear capacitats: L’enfocament del desenvolupament humà</w:t>
      </w:r>
      <w:r w:rsidDel="00000000" w:rsidR="00000000" w:rsidRPr="00000000">
        <w:rPr>
          <w:sz w:val="36"/>
          <w:szCs w:val="36"/>
          <w:rtl w:val="0"/>
        </w:rPr>
        <w:t xml:space="preserve">, de Martha C. Nussbaum</w:t>
      </w:r>
      <w:r w:rsidDel="00000000" w:rsidR="00000000" w:rsidRPr="00000000">
        <w:rPr>
          <w:rtl w:val="0"/>
        </w:rPr>
      </w:r>
    </w:p>
    <w:p w:rsidR="00000000" w:rsidDel="00000000" w:rsidP="00000000" w:rsidRDefault="00000000" w:rsidRPr="00000000" w14:paraId="00000007">
      <w:pPr>
        <w:jc w:val="both"/>
        <w:rPr>
          <w:sz w:val="24"/>
          <w:szCs w:val="24"/>
        </w:rPr>
      </w:pPr>
      <w:r w:rsidDel="00000000" w:rsidR="00000000" w:rsidRPr="00000000">
        <w:rPr>
          <w:rtl w:val="0"/>
        </w:rPr>
      </w:r>
    </w:p>
    <w:p w:rsidR="00000000" w:rsidDel="00000000" w:rsidP="00000000" w:rsidRDefault="00000000" w:rsidRPr="00000000" w14:paraId="00000008">
      <w:pPr>
        <w:jc w:val="both"/>
        <w:rPr>
          <w:sz w:val="24"/>
          <w:szCs w:val="24"/>
        </w:rPr>
      </w:pPr>
      <w:r w:rsidDel="00000000" w:rsidR="00000000" w:rsidRPr="00000000">
        <w:rPr>
          <w:rtl w:val="0"/>
        </w:rPr>
      </w:r>
    </w:p>
    <w:p w:rsidR="00000000" w:rsidDel="00000000" w:rsidP="00000000" w:rsidRDefault="00000000" w:rsidRPr="00000000" w14:paraId="00000009">
      <w:pPr>
        <w:jc w:val="both"/>
        <w:rPr>
          <w:b w:val="1"/>
          <w:bCs w:val="1"/>
          <w:sz w:val="26"/>
          <w:szCs w:val="26"/>
        </w:rPr>
      </w:pPr>
      <w:r w:rsidDel="00000000" w:rsidR="00000000" w:rsidRPr="00000000">
        <w:rPr>
          <w:b w:val="1"/>
          <w:bCs w:val="1"/>
          <w:sz w:val="26"/>
          <w:szCs w:val="26"/>
          <w:rtl w:val="0"/>
        </w:rPr>
        <w:t xml:space="preserve">Capítol 8. Quarta secció. L’educació (secció sencera)</w:t>
      </w:r>
    </w:p>
    <w:p w:rsidR="00000000" w:rsidDel="00000000" w:rsidP="00000000" w:rsidRDefault="00000000" w:rsidRPr="00000000" w14:paraId="0000000A">
      <w:pPr>
        <w:jc w:val="both"/>
        <w:rPr>
          <w:sz w:val="24"/>
          <w:szCs w:val="24"/>
        </w:rPr>
      </w:pPr>
      <w:r w:rsidDel="00000000" w:rsidR="00000000" w:rsidRPr="00000000">
        <w:rPr>
          <w:rtl w:val="0"/>
        </w:rPr>
      </w:r>
    </w:p>
    <w:p w:rsidR="00000000" w:rsidDel="00000000" w:rsidP="00000000" w:rsidRDefault="00000000" w:rsidRPr="00000000" w14:paraId="0000000B">
      <w:pPr>
        <w:jc w:val="both"/>
        <w:rPr>
          <w:b w:val="1"/>
          <w:bCs w:val="1"/>
        </w:rPr>
      </w:pPr>
      <w:r w:rsidDel="00000000" w:rsidR="00000000" w:rsidRPr="00000000">
        <w:rPr>
          <w:b w:val="1"/>
          <w:bCs w:val="1"/>
          <w:rtl w:val="0"/>
        </w:rPr>
        <w:t xml:space="preserve">[1] [Importància i paper central que té l’educació en el desenvolupament i l’exercici efectiu de les «capacitats»]</w:t>
      </w:r>
    </w:p>
    <w:p w:rsidR="00000000" w:rsidDel="00000000" w:rsidP="00000000" w:rsidRDefault="00000000" w:rsidRPr="00000000" w14:paraId="0000000C">
      <w:pPr>
        <w:jc w:val="both"/>
        <w:rPr/>
      </w:pPr>
      <w:r w:rsidDel="00000000" w:rsidR="00000000" w:rsidRPr="00000000">
        <w:rPr>
          <w:rtl w:val="0"/>
        </w:rPr>
      </w:r>
    </w:p>
    <w:p w:rsidR="00000000" w:rsidDel="00000000" w:rsidP="00000000" w:rsidRDefault="00000000" w:rsidRPr="00000000" w14:paraId="0000000D">
      <w:pPr>
        <w:jc w:val="both"/>
        <w:rPr/>
      </w:pPr>
      <w:r w:rsidDel="00000000" w:rsidR="00000000" w:rsidRPr="00000000">
        <w:rPr>
          <w:rtl w:val="0"/>
        </w:rPr>
        <w:t xml:space="preserve">La importància de l’educació ha estat, des del seu començament, un element central de l’enfocament de les capacitats. L’educació (a les escoles, a la família o en els programes de desenvolupament tant per a infants com per a adults gestionats per organitzacions no governamentals) forma les aptituds ja existents en les persones i les transforma en capacitats internes desenvolupades de moltes classes. Aquesta formació és valuosa en si mateixa, però també és una font de satisfacció per a tota la vida. Exerceix, així mateix, una funció capital per al desenvolupament i l’exercitació de moltes altres capacitats humanes: és, doncs, un «funcionament fèrtil» de summa importància per abordar els problemes del desavantatge i la desigualtat. Les persones que han rebut una educació (encara que només sigui bàsica) disposen d’unes opcions molt millors de trobar feina, de participació política i d’interacció productiva amb altres persones en la societat, tant a nivell local com nacional i, fins i tot, global. Per exemple, les dones que saben llegir escriure són capaces de comunicar-se, en el terreny polític, amb altres dones que s’enfronten a problemes similars als seus; deixen, així, d’estar aïllades. I aquests avantatges condueixen a d’altres: com que l’educació és una font d’opcions laborals i de poder polític, millora la posició negociadora d’una dona a la llar, la qual cosa li permet, per exemple, plantar cara a les amenaces i a la violència, o bé anar-se’n si no aconsegueix que es produeixin els canvis necessaris. Com que l’educació modifica la dinàmica de poder a la llar, també obre oportunitats per a una distribució més equitativa de les tasques domèstiques i, això, fa possible que les dones tinguin temps per al lleure. Altres intervencions que potencien les capacitats de les dones (com, per exemple, l’accés al crèdit i la protecció dels seus drets de propietat) són similarment fèrtils, però l’educació sembla tenir un lloc especialment destacat en les iniciatives que moltes nacions han emprès per promoure la igualtat humana al llarg dels dos últims segles. </w:t>
      </w:r>
    </w:p>
    <w:p w:rsidR="00000000" w:rsidDel="00000000" w:rsidP="00000000" w:rsidRDefault="00000000" w:rsidRPr="00000000" w14:paraId="0000000E">
      <w:pPr>
        <w:jc w:val="both"/>
        <w:rPr/>
      </w:pPr>
      <w:r w:rsidDel="00000000" w:rsidR="00000000" w:rsidRPr="00000000">
        <w:rPr>
          <w:rtl w:val="0"/>
        </w:rPr>
      </w:r>
    </w:p>
    <w:p w:rsidR="00000000" w:rsidDel="00000000" w:rsidP="00000000" w:rsidRDefault="00000000" w:rsidRPr="00000000" w14:paraId="0000000F">
      <w:pPr>
        <w:jc w:val="both"/>
        <w:rPr>
          <w:b w:val="1"/>
          <w:bCs w:val="1"/>
        </w:rPr>
      </w:pPr>
      <w:r w:rsidDel="00000000" w:rsidR="00000000" w:rsidRPr="00000000">
        <w:rPr>
          <w:b w:val="1"/>
          <w:bCs w:val="1"/>
          <w:rtl w:val="0"/>
        </w:rPr>
        <w:t xml:space="preserve">[2] [A l’Índia l’educació ha estat inclosa dins dels textos constitucionals com un dret fonamental lligat a la possibilitat de poder portar una vida digna]</w:t>
      </w:r>
    </w:p>
    <w:p w:rsidR="00000000" w:rsidDel="00000000" w:rsidP="00000000" w:rsidRDefault="00000000" w:rsidRPr="00000000" w14:paraId="00000010">
      <w:pPr>
        <w:jc w:val="both"/>
        <w:rPr/>
      </w:pPr>
      <w:r w:rsidDel="00000000" w:rsidR="00000000" w:rsidRPr="00000000">
        <w:rPr>
          <w:rtl w:val="0"/>
        </w:rPr>
      </w:r>
    </w:p>
    <w:p w:rsidR="00000000" w:rsidDel="00000000" w:rsidP="00000000" w:rsidRDefault="00000000" w:rsidRPr="00000000" w14:paraId="00000011">
      <w:pPr>
        <w:jc w:val="both"/>
        <w:rPr/>
      </w:pPr>
      <w:r w:rsidDel="00000000" w:rsidR="00000000" w:rsidRPr="00000000">
        <w:rPr>
          <w:rtl w:val="0"/>
        </w:rPr>
        <w:t xml:space="preserve">L’Índia ha atorgat, a l’educació, la categoria d’un dret fonamental de l’individu. A Mohini Jain, una sentència judicial clau que va desembocar en la introducció de l’esmena constitucional que garanteix l’esmentat dret, s’argumenta el següent: «La dignitat de l’ésser humà és inviolable. [...] És, abans que res, l’educació la que dona lloc a la dignitat humana ». Tal dret es considera bàsic per al «gaudi digne de la vida» i (citant la Declaració Universal dels Drets Humans) té per objecte «el ple desenvolupament de la personalitat humana». En l’altra sentència clau en aquest sentit, Unnikrishnan, s’afirma que «el dret a l’educació emana, directament, del dret a la vida i està relacionat amb la dignitat de l’individu».</w:t>
      </w:r>
    </w:p>
    <w:p w:rsidR="00000000" w:rsidDel="00000000" w:rsidP="00000000" w:rsidRDefault="00000000" w:rsidRPr="00000000" w14:paraId="00000012">
      <w:pPr>
        <w:jc w:val="both"/>
        <w:rPr/>
      </w:pPr>
      <w:r w:rsidDel="00000000" w:rsidR="00000000" w:rsidRPr="00000000">
        <w:rPr>
          <w:rtl w:val="0"/>
        </w:rPr>
      </w:r>
    </w:p>
    <w:p w:rsidR="00000000" w:rsidDel="00000000" w:rsidP="00000000" w:rsidRDefault="00000000" w:rsidRPr="00000000" w14:paraId="00000013">
      <w:pPr>
        <w:jc w:val="both"/>
        <w:rPr>
          <w:b w:val="1"/>
          <w:bCs w:val="1"/>
        </w:rPr>
      </w:pPr>
      <w:r w:rsidDel="00000000" w:rsidR="00000000" w:rsidRPr="00000000">
        <w:rPr>
          <w:b w:val="1"/>
          <w:bCs w:val="1"/>
          <w:rtl w:val="0"/>
        </w:rPr>
        <w:t xml:space="preserve">[3] [Als Estats Units l’educació mai no ha estat considerada un dret fonamental a nivell nacional, encara que gaudeix d’una posició molt rellevant dins del dret constitucional federal del país]</w:t>
      </w:r>
    </w:p>
    <w:p w:rsidR="00000000" w:rsidDel="00000000" w:rsidP="00000000" w:rsidRDefault="00000000" w:rsidRPr="00000000" w14:paraId="00000014">
      <w:pPr>
        <w:jc w:val="both"/>
        <w:rPr/>
      </w:pPr>
      <w:r w:rsidDel="00000000" w:rsidR="00000000" w:rsidRPr="00000000">
        <w:rPr>
          <w:rtl w:val="0"/>
        </w:rPr>
      </w:r>
    </w:p>
    <w:p w:rsidR="00000000" w:rsidDel="00000000" w:rsidP="00000000" w:rsidRDefault="00000000" w:rsidRPr="00000000" w14:paraId="00000015">
      <w:pPr>
        <w:jc w:val="both"/>
        <w:rPr/>
      </w:pPr>
      <w:r w:rsidDel="00000000" w:rsidR="00000000" w:rsidRPr="00000000">
        <w:rPr>
          <w:rtl w:val="0"/>
        </w:rPr>
        <w:t xml:space="preserve">Els Estats Units no han concedit mai, a l’educació, la categoria de dret fonamental a nivell nacional, encara que les constitucions d’alguns estats de la Unió sí que ho hagin fet. De totes maneres, l’educació té una posició privilegiada en el dret constitucional federal del país. Una sentència judicial clau, Plyler contra Doe (sobre una llei que negava l’accés a l’educació als fills i a les filles d’immigrants il·legals), va ratificar la importància de l’educació en uns termes que feien referència directa a les capacitats humanes. En l’esmentat text, les al·lusions a l’educació comencen amb una afirmació fonamental de la igualtat de les persones: «La clàusula sobre la igualtat de protecció legal [inclosa en la Catorzena Esmena] va ser introduïda amb la intenció, ni més ni menys, d’abolir tota legislació injusta basada en la divisió per castes o per classes ». L’educació, segons l’opinió majoritària del tribunal en aquell veredicte, té un «paper fonamental a l’hora de mantenir el teixit de la nostra societat i de sustentar el nostre patrimoni polític i cultural». La privació d’educació «cobra un preu, inestimablement abusiu, en forma de minva del benestar social, econòmic, intel·lectual i psicològic de l’individu, i representa un obstacle de cara a l’èxit individual». Aquests arguments es desenvolupen més a fons en paràgrafs posteriors. Es diu, per exemple, que l’educació «és necessària per preparar els ciutadans de cara a la seva participació efectiva i intel·ligent en el nostre sistema polític obert, quelcom vital per preservar la llibertat i la independència». També és crucial per a les oportunitats i el desenvolupament personal: «L’analfabetisme és una discapacitat duradora. La impossibilitat de llegir i escriure perjudicarà l’individu privat d’educació durant tots i cada un dels dies de la seva vida. L’incalculable peatge que aquesta privació causa en l’individu, pel que fa al benestar social, econòmic, intel·lectual i psicològic, i l’obstacle que representa per a l’èxit individual, fan summament difícil reconciliar el cost (o el principi mateix) de la negació d’una educació bàsica per raó d’estatus, amb el marc d’igualtat revestit en la clàusula sobre la igual protecció legal per a tots els individus». En realitat, doncs, l’opinió majoritària del tribunal concep la igualtat del dret als beneficis de l’educació per a totes les persones com una cosa inherent a la igualtat de dignitat d’aquestes, atès el paper capital de l’educació en la procuració del desenvolupament i les oportunitats humanes.</w:t>
      </w:r>
    </w:p>
    <w:p w:rsidR="00000000" w:rsidDel="00000000" w:rsidP="00000000" w:rsidRDefault="00000000" w:rsidRPr="00000000" w14:paraId="00000016">
      <w:pPr>
        <w:jc w:val="both"/>
        <w:rPr/>
      </w:pPr>
      <w:r w:rsidDel="00000000" w:rsidR="00000000" w:rsidRPr="00000000">
        <w:rPr>
          <w:rtl w:val="0"/>
        </w:rPr>
      </w:r>
    </w:p>
    <w:p w:rsidR="00000000" w:rsidDel="00000000" w:rsidP="00000000" w:rsidRDefault="00000000" w:rsidRPr="00000000" w14:paraId="00000017">
      <w:pPr>
        <w:jc w:val="both"/>
        <w:rPr>
          <w:b w:val="1"/>
          <w:bCs w:val="1"/>
        </w:rPr>
      </w:pPr>
      <w:r w:rsidDel="00000000" w:rsidR="00000000" w:rsidRPr="00000000">
        <w:rPr>
          <w:b w:val="1"/>
          <w:bCs w:val="1"/>
          <w:rtl w:val="0"/>
        </w:rPr>
        <w:t xml:space="preserve">[4] [L’educació ha de tenir una funció clau en l’enfocament de les «capacitats» perquè és vital per poder aconseguir la dignitat, la igualtat i la creació d’oportunitats humanes, tal com han reconegut, a més de l’Índia i els Estats Units, molts altres països]</w:t>
      </w:r>
    </w:p>
    <w:p w:rsidR="00000000" w:rsidDel="00000000" w:rsidP="00000000" w:rsidRDefault="00000000" w:rsidRPr="00000000" w14:paraId="00000018">
      <w:pPr>
        <w:jc w:val="both"/>
        <w:rPr/>
      </w:pPr>
      <w:r w:rsidDel="00000000" w:rsidR="00000000" w:rsidRPr="00000000">
        <w:rPr>
          <w:rtl w:val="0"/>
        </w:rPr>
      </w:r>
    </w:p>
    <w:p w:rsidR="00000000" w:rsidDel="00000000" w:rsidP="00000000" w:rsidRDefault="00000000" w:rsidRPr="00000000" w14:paraId="00000019">
      <w:pPr>
        <w:jc w:val="both"/>
        <w:rPr/>
      </w:pPr>
      <w:r w:rsidDel="00000000" w:rsidR="00000000" w:rsidRPr="00000000">
        <w:rPr>
          <w:rtl w:val="0"/>
        </w:rPr>
        <w:t xml:space="preserve">Així, doncs, tant a l’Índia com als Estats Units (com en moltes altres nacions), l’educació ha estat reconeguda com un element particularment central per a la dignitat, la igualtat i l’oportunitat humanes. Si aquests vincles són plausibles (com així sembla), llavors l’educació mereix que se li reservi una funció clau en l’enfocament de les capacitats.</w:t>
      </w:r>
    </w:p>
    <w:p w:rsidR="00000000" w:rsidDel="00000000" w:rsidP="00000000" w:rsidRDefault="00000000" w:rsidRPr="00000000" w14:paraId="0000001A">
      <w:pPr>
        <w:jc w:val="both"/>
        <w:rPr/>
      </w:pPr>
      <w:r w:rsidDel="00000000" w:rsidR="00000000" w:rsidRPr="00000000">
        <w:rPr>
          <w:rtl w:val="0"/>
        </w:rPr>
      </w:r>
    </w:p>
    <w:p w:rsidR="00000000" w:rsidDel="00000000" w:rsidP="00000000" w:rsidRDefault="00000000" w:rsidRPr="00000000" w14:paraId="0000001B">
      <w:pPr>
        <w:jc w:val="both"/>
        <w:rPr/>
      </w:pPr>
      <w:r w:rsidDel="00000000" w:rsidR="00000000" w:rsidRPr="00000000">
        <w:rPr>
          <w:rtl w:val="0"/>
        </w:rPr>
        <w:t xml:space="preserve">Els indicadors integrats en l’índex de desenvolupament humà no permeten que l’esmentat índex ponderi l’educació a la par amb factors tan importants com la longevitat, la qual cosa anima tots els països a considerar l’èxit educatiu com un dels elements més crucials dels seus respectius èxits nacionals. El profund compromís de Sen amb l’avenç educatiu queda patent en el fet mateix que dediqués els diners del seu premi Nobel íntegrament a la creació d’un fons (la Fundació Pratichi, anomenada així en honor de la casa de la seva mare a Santiniketan, ciutat on Tagore va fundar, en el seu dia, la seva famosa escola) per estudiar i potenciar l’educació a Bengala Occidental, el seu estat d’origen. La Fundació Pratichi és una organització dedicada a la investigació, no un organisme de decisió i aplicació de polítiques, però els seus càustics informes sobre les deficiències educatives en aquell estat han servit per evidenciar les errades i els fracassos —de volada nacional i internacional— del govern local. En concret, la seva insistència en la denúncia de pràctiques tan corruptes com les de l’absentisme dels docents i les «classes particulars privades» (tutories que molts professors i professores imparteixen en horari extraescolar a estudiants adinerats a canvi del cobrament d’uns honoraris) ha servit per suscitar un cert moviment popular favorable a la reforma: el poderós i, anteriorment inactiu, sindicat de docents s’ha posicionat ja, públicament, en contra de tals pràctiques.</w:t>
      </w:r>
    </w:p>
    <w:p w:rsidR="00000000" w:rsidDel="00000000" w:rsidP="00000000" w:rsidRDefault="00000000" w:rsidRPr="00000000" w14:paraId="0000001C">
      <w:pPr>
        <w:jc w:val="both"/>
        <w:rPr/>
      </w:pPr>
      <w:r w:rsidDel="00000000" w:rsidR="00000000" w:rsidRPr="00000000">
        <w:rPr>
          <w:rtl w:val="0"/>
        </w:rPr>
      </w:r>
    </w:p>
    <w:p w:rsidR="00000000" w:rsidDel="00000000" w:rsidP="00000000" w:rsidRDefault="00000000" w:rsidRPr="00000000" w14:paraId="0000001D">
      <w:pPr>
        <w:jc w:val="both"/>
        <w:rPr>
          <w:b w:val="1"/>
          <w:bCs w:val="1"/>
        </w:rPr>
      </w:pPr>
      <w:r w:rsidDel="00000000" w:rsidR="00000000" w:rsidRPr="00000000">
        <w:rPr>
          <w:b w:val="1"/>
          <w:bCs w:val="1"/>
          <w:rtl w:val="0"/>
        </w:rPr>
        <w:t xml:space="preserve">[5] [Enumeració de les habilitats que s’han de potenciar des de l’educació per augmentar les oportunitats de les persones i poder aconseguir una ciutadania democràtica responsable]</w:t>
      </w:r>
    </w:p>
    <w:p w:rsidR="00000000" w:rsidDel="00000000" w:rsidP="00000000" w:rsidRDefault="00000000" w:rsidRPr="00000000" w14:paraId="0000001E">
      <w:pPr>
        <w:jc w:val="both"/>
        <w:rPr/>
      </w:pPr>
      <w:r w:rsidDel="00000000" w:rsidR="00000000" w:rsidRPr="00000000">
        <w:rPr>
          <w:rtl w:val="0"/>
        </w:rPr>
      </w:r>
    </w:p>
    <w:p w:rsidR="00000000" w:rsidDel="00000000" w:rsidP="00000000" w:rsidRDefault="00000000" w:rsidRPr="00000000" w14:paraId="0000001F">
      <w:pPr>
        <w:jc w:val="both"/>
        <w:rPr/>
      </w:pPr>
      <w:r w:rsidDel="00000000" w:rsidR="00000000" w:rsidRPr="00000000">
        <w:rPr>
          <w:rtl w:val="0"/>
        </w:rPr>
        <w:t xml:space="preserve">De manera comprensible i no sense certa raó, les intervencions en aquest terreny s’han centrat, sobretot, en l’alfabetització lectoescriptora i en la numèrica bàsica, i és segurament correcte, pensar que, quan una persona no té aquestes habilitats, se li tanquen moltes oportunitats. De totes maneres, és important no circumscriure l’anàlisi de l’educació i de les capacitats en general a tals habilitats. Es necessiten moltes més coses perquè una educació contribueixi, de veritat, al desenvolupament humà. En l’actualitat, la majoria de les nacions modernes, preocupades com estan per l’increment de la renda nacional i per conquerir o conservar una quota del mercat global, s’han anat centrant, cada vegada més, en un conjunt restringit d’habilitats comercialitzadores en el mercat laboral i considerades com a generadores potencials de beneficis econòmics a curt termini. Però hi ha altres habilitats, relacionades amb les humanitats i les arts (com, per exemple, el pensament crític, l’habilitat d’imaginar i d’entendre la situació d’una altra persona posant-se en el seu lloc, o la comprensió d’unes nocions elementals sobre la història i l’actual ordre econòmic global), que són essencials, sense excepció, per al foment d’una ciutadania democràtica responsable i per a una variada sèrie d’altres capacitats que les persones podrien estar interessades a exercir en altres moments de les seves vides. Els qui utilitzin l’enfocament de les capacitats han de prestar una gran atenció a qüestions tant de pedagogia com de contingut i, preguntar-se si (i com) la substància dels estudis i la naturalesa de les interaccions a l’aula (per exemple, el paper assignat al pensament crític i a la imaginació en l’estudi diari de materials de múltiples tipus) compleixen els objectius inherents a l’enfocament, sobretot, en les qüestions relacionades amb la ciutadania. (Òbviament, l’educació per a la ciutadania no és únicament per a persones que ja siguin ciutadanes i ciutadans de la nació en què resideixen: els fills i filles d’immigrants legals i il·legals tenen dret a una educació que prepari, per a ells i elles, les mateixes capacitats com a adults que les que es preparen per als qui ja tenen la nacionalitat.)</w:t>
      </w:r>
    </w:p>
    <w:p w:rsidR="00000000" w:rsidDel="00000000" w:rsidP="00000000" w:rsidRDefault="00000000" w:rsidRPr="00000000" w14:paraId="00000020">
      <w:pPr>
        <w:jc w:val="both"/>
        <w:rPr/>
      </w:pPr>
      <w:r w:rsidDel="00000000" w:rsidR="00000000" w:rsidRPr="00000000">
        <w:rPr>
          <w:rtl w:val="0"/>
        </w:rPr>
      </w:r>
    </w:p>
    <w:p w:rsidR="00000000" w:rsidDel="00000000" w:rsidP="00000000" w:rsidRDefault="00000000" w:rsidRPr="00000000" w14:paraId="00000021">
      <w:pPr>
        <w:jc w:val="both"/>
        <w:rPr>
          <w:b w:val="1"/>
          <w:bCs w:val="1"/>
        </w:rPr>
      </w:pPr>
      <w:r w:rsidDel="00000000" w:rsidR="00000000" w:rsidRPr="00000000">
        <w:rPr>
          <w:b w:val="1"/>
          <w:bCs w:val="1"/>
          <w:rtl w:val="0"/>
        </w:rPr>
        <w:t xml:space="preserve">[6] [Justificació de per què l’Educació Primària i la Secundària de nens i nenes han de ser obligatòries]</w:t>
      </w:r>
    </w:p>
    <w:p w:rsidR="00000000" w:rsidDel="00000000" w:rsidP="00000000" w:rsidRDefault="00000000" w:rsidRPr="00000000" w14:paraId="00000022">
      <w:pPr>
        <w:jc w:val="both"/>
        <w:rPr/>
      </w:pPr>
      <w:r w:rsidDel="00000000" w:rsidR="00000000" w:rsidRPr="00000000">
        <w:rPr>
          <w:rtl w:val="0"/>
        </w:rPr>
      </w:r>
    </w:p>
    <w:p w:rsidR="00000000" w:rsidDel="00000000" w:rsidP="00000000" w:rsidRDefault="00000000" w:rsidRPr="00000000" w14:paraId="00000023">
      <w:pPr>
        <w:jc w:val="both"/>
        <w:rPr/>
      </w:pPr>
      <w:r w:rsidDel="00000000" w:rsidR="00000000" w:rsidRPr="00000000">
        <w:rPr>
          <w:rtl w:val="0"/>
        </w:rPr>
        <w:t xml:space="preserve">L’àmbit de l’educació és aquell en el qual és legítim que es relaxi l’habitual deferència a la llibertat d’elecció: aquí, els governs faran bé d’exigir un funcionament concret als nens i les nenes, sense conformar-se, simplement, amb una capacitat. Per què és diferent aquest terreny de la major part d’altres àmbits? En realitat, ho és només en el que fa referència als nens i les nenes, les capacitats de lliure elecció dels quals són, encara, immadures i són susceptibles de sucumbir a les pressions parentals perquè es posin a treballar i abandonin els seus estudis (no en va, són persones econòmicament dependents dels seus pares i tenen molt poques opcions de sortida d’aquesta situació). L’educació és un factor tan capital a l’hora d’obrir les portes d’una àmplia diversitat de capacitats adultes que convertir-la en obligatòria durant la infantesa és una mesura justificada per l’espectacular expansió de capacitats que propicia en moments posteriors de la vida. Pel que fa als nens i les nenes, doncs, el compromís de l’Estat amb les capacitats futures dels seus ciutadans i ciutadanes, unit al seu destacat interès a tenir una ciutadania informada i capaç, justifica un enfocament governamental agressiu que converteixi l’Educació Primària i Secundària en obligatòria (almenys, fins als 16 anys d’edat), i que propiciï amplis suports i estímuls a l’Educació Superior. (Els nens i les nenes reben, també, un tracte asimètric en àmbits com ara la salut i la integritat física: hauríem de ser, en aquests casos, i no tant en les persones adultes, menys tolerants amb la inhibició de l’acció pública davant l’elecció individual o parental). Tanmateix, en el cas de l’educació de persones adultes que volen ampliar la seva formació, la persuasió és l’enfocament correcte.</w:t>
      </w:r>
    </w:p>
    <w:p w:rsidR="00000000" w:rsidDel="00000000" w:rsidP="00000000" w:rsidRDefault="00000000" w:rsidRPr="00000000" w14:paraId="00000024">
      <w:pPr>
        <w:jc w:val="both"/>
        <w:rPr/>
      </w:pPr>
      <w:r w:rsidDel="00000000" w:rsidR="00000000" w:rsidRPr="00000000">
        <w:rPr>
          <w:rtl w:val="0"/>
        </w:rPr>
      </w:r>
    </w:p>
    <w:p w:rsidR="00000000" w:rsidDel="00000000" w:rsidP="00000000" w:rsidRDefault="00000000" w:rsidRPr="00000000" w14:paraId="00000025">
      <w:pPr>
        <w:jc w:val="both"/>
        <w:rPr>
          <w:b w:val="1"/>
          <w:bCs w:val="1"/>
        </w:rPr>
      </w:pPr>
      <w:r w:rsidDel="00000000" w:rsidR="00000000" w:rsidRPr="00000000">
        <w:rPr>
          <w:b w:val="1"/>
          <w:bCs w:val="1"/>
          <w:rtl w:val="0"/>
        </w:rPr>
        <w:t xml:space="preserve">[7] [Una bona educació ha de combinar les referències contextuals locals —històriques, culturals i econòmiques amb uns principis generals derivats d’un diàleg transcultural]</w:t>
      </w:r>
    </w:p>
    <w:p w:rsidR="00000000" w:rsidDel="00000000" w:rsidP="00000000" w:rsidRDefault="00000000" w:rsidRPr="00000000" w14:paraId="00000026">
      <w:pPr>
        <w:jc w:val="both"/>
        <w:rPr/>
      </w:pPr>
      <w:r w:rsidDel="00000000" w:rsidR="00000000" w:rsidRPr="00000000">
        <w:rPr>
          <w:rtl w:val="0"/>
        </w:rPr>
      </w:r>
    </w:p>
    <w:p w:rsidR="00000000" w:rsidDel="00000000" w:rsidP="00000000" w:rsidRDefault="00000000" w:rsidRPr="00000000" w14:paraId="00000027">
      <w:pPr>
        <w:jc w:val="both"/>
        <w:rPr/>
      </w:pPr>
      <w:r w:rsidDel="00000000" w:rsidR="00000000" w:rsidRPr="00000000">
        <w:rPr>
          <w:rtl w:val="0"/>
        </w:rPr>
        <w:t xml:space="preserve">Perquè una educació sigui bona, ha de ser sensible al context, a la història i a les circumstàncies culturals i econòmiques. Una gran part del treball ben fet en aquest terreny —com, per exemple, el que duu a terme la Fundació Pratichi— ha de mantenir, doncs, una elevada atenció als detalls i l’èmfasi en els temes locals. De tota manera, la finalitat de crear joves persones adultes que siguin lliures per afrontar la vida com vulguin dins d’una àmplia varietat de vies i formes ha estat objecte d’estudi, en tot el món, durant centenars d’anys, i no han estat pocs els destacats teòrics de l’educació de molts països diferents que han mantingut consultes mútues sobre això en diversos moments (com Rabindranath Tagore a l’Índia, Maria Montessori a Itàlia i Leonard Elmhirst a la Gran Bretanya, per exemple). Per tant, no és desraonat pensar que un diàleg transcultural, tant en aquest capítol en particular com en l’enfocament de les capacitats en general, acabi produint uns principis generals que puguin ser, després, implementats de forma flexible en cada nació i en cada regió.</w:t>
      </w:r>
    </w:p>
    <w:p w:rsidR="00000000" w:rsidDel="00000000" w:rsidP="00000000" w:rsidRDefault="00000000" w:rsidRPr="00000000" w14:paraId="00000028">
      <w:pPr>
        <w:jc w:val="both"/>
        <w:rPr>
          <w:sz w:val="24"/>
          <w:szCs w:val="24"/>
        </w:rPr>
      </w:pPr>
      <w:r w:rsidDel="00000000" w:rsidR="00000000" w:rsidRPr="00000000">
        <w:rPr>
          <w:rtl w:val="0"/>
        </w:rPr>
      </w:r>
    </w:p>
    <w:p w:rsidR="00000000" w:rsidDel="00000000" w:rsidP="00000000" w:rsidRDefault="00000000" w:rsidRPr="00000000" w14:paraId="00000029">
      <w:pPr>
        <w:jc w:val="both"/>
        <w:rPr>
          <w:sz w:val="24"/>
          <w:szCs w:val="24"/>
        </w:rPr>
      </w:pPr>
      <w:r w:rsidDel="00000000" w:rsidR="00000000" w:rsidRPr="00000000">
        <w:rPr>
          <w:rtl w:val="0"/>
        </w:rPr>
      </w:r>
    </w:p>
    <w:p w:rsidR="00000000" w:rsidDel="00000000" w:rsidP="00000000" w:rsidRDefault="00000000" w:rsidRPr="00000000" w14:paraId="0000002A">
      <w:pPr>
        <w:jc w:val="right"/>
        <w:rPr/>
      </w:pPr>
      <w:r w:rsidDel="00000000" w:rsidR="00000000" w:rsidRPr="00000000">
        <w:rPr>
          <w:rtl w:val="0"/>
        </w:rPr>
        <w:t xml:space="preserve">—</w:t>
      </w:r>
      <w:r w:rsidDel="00000000" w:rsidR="00000000" w:rsidRPr="00000000">
        <w:rPr>
          <w:i w:val="1"/>
          <w:iCs w:val="1"/>
          <w:rtl w:val="0"/>
        </w:rPr>
        <w:t xml:space="preserve">Crear capacitats </w:t>
      </w:r>
      <w:r w:rsidDel="00000000" w:rsidR="00000000" w:rsidRPr="00000000">
        <w:rPr>
          <w:rtl w:val="0"/>
        </w:rPr>
        <w:t xml:space="preserve">de Martha C. Nussbaum,</w:t>
        <w:br w:type="textWrapping"/>
        <w:t xml:space="preserve">dins de José Vidal González Barredo, </w:t>
      </w:r>
      <w:r w:rsidDel="00000000" w:rsidR="00000000" w:rsidRPr="00000000">
        <w:rPr>
          <w:i w:val="1"/>
          <w:iCs w:val="1"/>
          <w:rtl w:val="0"/>
        </w:rPr>
        <w:t xml:space="preserve">Noesi.</w:t>
        <w:br w:type="textWrapping"/>
        <w:t xml:space="preserve">Textos de filosofia per a les PAU 2025</w:t>
      </w:r>
      <w:r w:rsidDel="00000000" w:rsidR="00000000" w:rsidRPr="00000000">
        <w:rPr>
          <w:rtl w:val="0"/>
        </w:rPr>
        <w:t xml:space="preserve">, 470-476.</w:t>
      </w:r>
    </w:p>
    <w:sectPr>
      <w:footerReference r:id="rId7" w:type="default"/>
      <w:pgSz w:h="16838" w:w="11906" w:orient="portrait"/>
      <w:pgMar w:bottom="1440.0000000000002" w:top="1440.0000000000002" w:left="1440.0000000000002" w:right="1440.0000000000002"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B">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