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rPr>
          <w:sz w:val="2"/>
          <w:szCs w:val="2"/>
        </w:rPr>
      </w:pPr>
      <w:r w:rsidDel="00000000" w:rsidR="00000000" w:rsidRPr="00000000">
        <w:rPr>
          <w:rtl w:val="0"/>
        </w:rPr>
      </w:r>
    </w:p>
    <w:tbl>
      <w:tblPr>
        <w:tblStyle w:val="Table1"/>
        <w:tblW w:w="902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3"/>
        <w:gridCol w:w="4513"/>
        <w:tblGridChange w:id="0">
          <w:tblGrid>
            <w:gridCol w:w="4513"/>
            <w:gridCol w:w="4513"/>
          </w:tblGrid>
        </w:tblGridChange>
      </w:tblGrid>
      <w:tr>
        <w:trPr>
          <w:cantSplit w:val="0"/>
          <w:trHeight w:val="774.5678710937501" w:hRule="atLeast"/>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bottom"/>
          </w:tcPr>
          <w:p w:rsidR="00000000" w:rsidDel="00000000" w:rsidP="00000000" w:rsidRDefault="00000000" w:rsidRPr="00000000" w14:paraId="00000002">
            <w:pPr>
              <w:rPr/>
            </w:pPr>
            <w:r w:rsidDel="00000000" w:rsidR="00000000" w:rsidRPr="00000000">
              <w:rPr/>
              <w:drawing>
                <wp:inline distB="114300" distT="114300" distL="114300" distR="114300">
                  <wp:extent cx="766763" cy="383381"/>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766763" cy="383381"/>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bottom"/>
          </w:tcPr>
          <w:p w:rsidR="00000000" w:rsidDel="00000000" w:rsidP="00000000" w:rsidRDefault="00000000" w:rsidRPr="00000000" w14:paraId="00000003">
            <w:pPr>
              <w:jc w:val="right"/>
              <w:rPr>
                <w:sz w:val="18"/>
                <w:szCs w:val="18"/>
              </w:rPr>
            </w:pPr>
            <w:r w:rsidDel="00000000" w:rsidR="00000000" w:rsidRPr="00000000">
              <w:rPr>
                <w:b w:val="1"/>
                <w:bCs w:val="1"/>
                <w:color w:val="cc0000"/>
                <w:rtl w:val="0"/>
              </w:rPr>
              <w:t xml:space="preserve">Història de la filosofia</w:t>
              <w:br w:type="textWrapping"/>
            </w:r>
            <w:r w:rsidDel="00000000" w:rsidR="00000000" w:rsidRPr="00000000">
              <w:rPr>
                <w:rtl w:val="0"/>
              </w:rPr>
              <w:t xml:space="preserve">La filosofia de Martha C. Nussbaum</w:t>
            </w:r>
            <w:r w:rsidDel="00000000" w:rsidR="00000000" w:rsidRPr="00000000">
              <w:rPr>
                <w:rtl w:val="0"/>
              </w:rPr>
            </w:r>
          </w:p>
        </w:tc>
      </w:tr>
    </w:tbl>
    <w:p w:rsidR="00000000" w:rsidDel="00000000" w:rsidP="00000000" w:rsidRDefault="00000000" w:rsidRPr="00000000" w14:paraId="0000000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b w:val="1"/>
          <w:bCs w:val="1"/>
          <w:i w:val="1"/>
          <w:iCs w:val="1"/>
          <w:sz w:val="38"/>
          <w:szCs w:val="38"/>
          <w:rtl w:val="0"/>
        </w:rPr>
        <w:t xml:space="preserve">Crear capacitats: L’enfocament del desenvolupament humà</w:t>
      </w:r>
      <w:r w:rsidDel="00000000" w:rsidR="00000000" w:rsidRPr="00000000">
        <w:rPr>
          <w:sz w:val="36"/>
          <w:szCs w:val="36"/>
          <w:rtl w:val="0"/>
        </w:rPr>
        <w:t xml:space="preserve">, de Martha C. Nussbaum</w:t>
      </w:r>
      <w:r w:rsidDel="00000000" w:rsidR="00000000" w:rsidRPr="00000000">
        <w:rPr>
          <w:rtl w:val="0"/>
        </w:rPr>
      </w:r>
    </w:p>
    <w:p w:rsidR="00000000" w:rsidDel="00000000" w:rsidP="00000000" w:rsidRDefault="00000000" w:rsidRPr="00000000" w14:paraId="00000007">
      <w:pPr>
        <w:jc w:val="both"/>
        <w:rPr/>
      </w:pPr>
      <w:r w:rsidDel="00000000" w:rsidR="00000000" w:rsidRPr="00000000">
        <w:rPr>
          <w:rtl w:val="0"/>
        </w:rPr>
      </w:r>
    </w:p>
    <w:p w:rsidR="00000000" w:rsidDel="00000000" w:rsidP="00000000" w:rsidRDefault="00000000" w:rsidRPr="00000000" w14:paraId="00000008">
      <w:pPr>
        <w:jc w:val="both"/>
        <w:rPr>
          <w:b w:val="1"/>
          <w:bCs w:val="1"/>
          <w:sz w:val="24"/>
          <w:szCs w:val="24"/>
        </w:rPr>
      </w:pPr>
      <w:r w:rsidDel="00000000" w:rsidR="00000000" w:rsidRPr="00000000">
        <w:rPr>
          <w:rtl w:val="0"/>
        </w:rPr>
      </w:r>
    </w:p>
    <w:p w:rsidR="00000000" w:rsidDel="00000000" w:rsidP="00000000" w:rsidRDefault="00000000" w:rsidRPr="00000000" w14:paraId="00000009">
      <w:pPr>
        <w:jc w:val="both"/>
        <w:rPr>
          <w:sz w:val="26"/>
          <w:szCs w:val="26"/>
        </w:rPr>
      </w:pPr>
      <w:r w:rsidDel="00000000" w:rsidR="00000000" w:rsidRPr="00000000">
        <w:rPr>
          <w:b w:val="1"/>
          <w:bCs w:val="1"/>
          <w:sz w:val="26"/>
          <w:szCs w:val="26"/>
          <w:rtl w:val="0"/>
        </w:rPr>
        <w:t xml:space="preserve">Capítol 4. Quarta secció. Posicions basades en el contracte social (3r, 4t, 5è i 6è paràgrafs)</w:t>
      </w:r>
      <w:r w:rsidDel="00000000" w:rsidR="00000000" w:rsidRPr="00000000">
        <w:rPr>
          <w:rtl w:val="0"/>
        </w:rPr>
      </w:r>
    </w:p>
    <w:p w:rsidR="00000000" w:rsidDel="00000000" w:rsidP="00000000" w:rsidRDefault="00000000" w:rsidRPr="00000000" w14:paraId="0000000A">
      <w:pPr>
        <w:jc w:val="both"/>
        <w:rPr>
          <w:sz w:val="24"/>
          <w:szCs w:val="24"/>
        </w:rPr>
      </w:pPr>
      <w:r w:rsidDel="00000000" w:rsidR="00000000" w:rsidRPr="00000000">
        <w:rPr>
          <w:rtl w:val="0"/>
        </w:rPr>
      </w:r>
    </w:p>
    <w:p w:rsidR="00000000" w:rsidDel="00000000" w:rsidP="00000000" w:rsidRDefault="00000000" w:rsidRPr="00000000" w14:paraId="0000000B">
      <w:pPr>
        <w:jc w:val="both"/>
        <w:rPr>
          <w:b w:val="1"/>
          <w:bCs w:val="1"/>
        </w:rPr>
      </w:pPr>
      <w:r w:rsidDel="00000000" w:rsidR="00000000" w:rsidRPr="00000000">
        <w:rPr>
          <w:b w:val="1"/>
          <w:bCs w:val="1"/>
          <w:rtl w:val="0"/>
        </w:rPr>
        <w:t xml:space="preserve">[1] [Pressupòsits teòrics sobre els quals es construeixen les teories contractualistes]</w:t>
      </w:r>
    </w:p>
    <w:p w:rsidR="00000000" w:rsidDel="00000000" w:rsidP="00000000" w:rsidRDefault="00000000" w:rsidRPr="00000000" w14:paraId="0000000C">
      <w:pPr>
        <w:jc w:val="both"/>
        <w:rPr/>
      </w:pPr>
      <w:r w:rsidDel="00000000" w:rsidR="00000000" w:rsidRPr="00000000">
        <w:rPr>
          <w:rtl w:val="0"/>
        </w:rPr>
      </w:r>
    </w:p>
    <w:p w:rsidR="00000000" w:rsidDel="00000000" w:rsidP="00000000" w:rsidRDefault="00000000" w:rsidRPr="00000000" w14:paraId="0000000D">
      <w:pPr>
        <w:jc w:val="both"/>
        <w:rPr/>
      </w:pPr>
      <w:r w:rsidDel="00000000" w:rsidR="00000000" w:rsidRPr="00000000">
        <w:rPr>
          <w:rtl w:val="0"/>
        </w:rPr>
        <w:t xml:space="preserve">La teoria clàssica del contracte social parteix de l’observació que totes les estructures socials existents han estat dictades per jerarquies artificials de riquesa, classe i prestigi. Si desposseíssim els éssers humans de tots aquests avantatges artificials, es pregunta la teoria, quin tipus de societat elegirien? Aquesta espècie d’experiment imaginari té un enorme valor, i la famosa «posició original» de Rawls és una versió d’aquest: en una situació hipotètica d’ignorància de la classe, la riquesa, la raça i el sexe que tindran, es demana, a uns individus racionals, que seleccionin uns principis de justícia per a la societat en la qual viuran. Tanmateix, en el procés mateix de construcció d’aquest experiment mental (que se suposa que ens ha de mostrar que les institucions haurien de respectar el fet que tots compartim la mateixa condició humana, malgrat els avantatges artificials que ens divideixen), totes les teories contractualistes (incloent-hi la de Rawls) assumeixen una igualtat aproximada de poder físic i mental entre tots els participants. I és, precisament, el coneixement d’aquesta igualtat aproximada (fins al més feble d’aquests individus pot matar furtivament el més fort) el que convenç els implicats i les implicades del fet que no seran capaços de dominar els altres amb certesa, i que, per tant, els convé, a tots i a totes, cedir alguns dels seus actius naturals i consentir que se’ls imposin certes restriccions polítiques i legals. La teoria afirma que el contracte se subscriu per avantatge recíproc dels participants: és aquest avantatge (i no l’altruisme ni l’amor pels altres) el que els reuneix en societat. (Òbviament, les teories d’aquesta classe no afirmen que les persones reals manquen de beneficència: la teoria es limita a traçar una representació hipotètica; no està elaborant una història ni una antropologia. El que sí que diuen aquestes teories és que no tenim per què suposar la presència d’un estès instint caritatiu entre les persones per mostrar com es posa en marxa el contracte.)</w:t>
      </w:r>
    </w:p>
    <w:p w:rsidR="00000000" w:rsidDel="00000000" w:rsidP="00000000" w:rsidRDefault="00000000" w:rsidRPr="00000000" w14:paraId="0000000E">
      <w:pPr>
        <w:jc w:val="both"/>
        <w:rPr/>
      </w:pPr>
      <w:r w:rsidDel="00000000" w:rsidR="00000000" w:rsidRPr="00000000">
        <w:rPr>
          <w:rtl w:val="0"/>
        </w:rPr>
      </w:r>
    </w:p>
    <w:p w:rsidR="00000000" w:rsidDel="00000000" w:rsidP="00000000" w:rsidRDefault="00000000" w:rsidRPr="00000000" w14:paraId="0000000F">
      <w:pPr>
        <w:jc w:val="both"/>
        <w:rPr>
          <w:b w:val="1"/>
          <w:bCs w:val="1"/>
        </w:rPr>
      </w:pPr>
      <w:r w:rsidDel="00000000" w:rsidR="00000000" w:rsidRPr="00000000">
        <w:rPr>
          <w:b w:val="1"/>
          <w:bCs w:val="1"/>
          <w:rtl w:val="0"/>
        </w:rPr>
        <w:t xml:space="preserve">[2] [Les teories contractualistes ens proporcionen una bona manera d’entendre la cooperació i la justícia socials i ens permeten conèixer com seria una societat basada en un ideal d’imparcialitat]</w:t>
      </w:r>
    </w:p>
    <w:p w:rsidR="00000000" w:rsidDel="00000000" w:rsidP="00000000" w:rsidRDefault="00000000" w:rsidRPr="00000000" w14:paraId="00000010">
      <w:pPr>
        <w:jc w:val="both"/>
        <w:rPr/>
      </w:pPr>
      <w:r w:rsidDel="00000000" w:rsidR="00000000" w:rsidRPr="00000000">
        <w:rPr>
          <w:rtl w:val="0"/>
        </w:rPr>
      </w:r>
    </w:p>
    <w:p w:rsidR="00000000" w:rsidDel="00000000" w:rsidP="00000000" w:rsidRDefault="00000000" w:rsidRPr="00000000" w14:paraId="00000011">
      <w:pPr>
        <w:jc w:val="both"/>
        <w:rPr/>
      </w:pPr>
      <w:r w:rsidDel="00000000" w:rsidR="00000000" w:rsidRPr="00000000">
        <w:rPr>
          <w:rtl w:val="0"/>
        </w:rPr>
        <w:t xml:space="preserve">Aquestes teories ens proporcionen una bona manera d’entendre la cooperació i la justícia socials. Si estem d’acord que la justícia ens exigeix que tractem, imparcialment, les persones, sense afavorir un individu o un grup per damunt de cap altre per raó de la seva riquesa, la seva classe o qualssevol altres avantatges artificials (com la raça o el gènere), llavors aquestes teories ens serveixen de gran ajut per saber quin aspecte tindria una societat erigida sobre un ideal d’imparcialitat. La teoria de la justícia de Rawls és una de les grans fites de la filosofia política occidental contemporània. Resol, certament molt bé, el conjunt de problemes que es proposa, inicialment, de resoldre. El fet de demostrar que una perspectiva rival la supera, a l’hora d’abordar tota aquesta llista de problemes, seria una tasca d’una dificultat colossal que l’enfocament de les capacitats no s’ha proposat afrontar encara.</w:t>
      </w:r>
    </w:p>
    <w:p w:rsidR="00000000" w:rsidDel="00000000" w:rsidP="00000000" w:rsidRDefault="00000000" w:rsidRPr="00000000" w14:paraId="00000012">
      <w:pPr>
        <w:jc w:val="both"/>
        <w:rPr/>
      </w:pPr>
      <w:r w:rsidDel="00000000" w:rsidR="00000000" w:rsidRPr="00000000">
        <w:rPr>
          <w:rtl w:val="0"/>
        </w:rPr>
      </w:r>
    </w:p>
    <w:p w:rsidR="00000000" w:rsidDel="00000000" w:rsidP="00000000" w:rsidRDefault="00000000" w:rsidRPr="00000000" w14:paraId="00000013">
      <w:pPr>
        <w:jc w:val="both"/>
        <w:rPr>
          <w:b w:val="1"/>
          <w:bCs w:val="1"/>
        </w:rPr>
      </w:pPr>
      <w:r w:rsidDel="00000000" w:rsidR="00000000" w:rsidRPr="00000000">
        <w:rPr>
          <w:b w:val="1"/>
          <w:bCs w:val="1"/>
          <w:rtl w:val="0"/>
        </w:rPr>
        <w:t xml:space="preserve">[3] [Els supòsits en els quals es fonamenten les teories contractualistes marginen les persones discapacitades en el procés d’elaboració del contracte; i, fins i tot, les exclouen de la justícia política]</w:t>
      </w:r>
    </w:p>
    <w:p w:rsidR="00000000" w:rsidDel="00000000" w:rsidP="00000000" w:rsidRDefault="00000000" w:rsidRPr="00000000" w14:paraId="00000014">
      <w:pPr>
        <w:jc w:val="both"/>
        <w:rPr/>
      </w:pPr>
      <w:r w:rsidDel="00000000" w:rsidR="00000000" w:rsidRPr="00000000">
        <w:rPr>
          <w:rtl w:val="0"/>
        </w:rPr>
      </w:r>
    </w:p>
    <w:p w:rsidR="00000000" w:rsidDel="00000000" w:rsidP="00000000" w:rsidRDefault="00000000" w:rsidRPr="00000000" w14:paraId="00000015">
      <w:pPr>
        <w:jc w:val="both"/>
        <w:rPr/>
      </w:pPr>
      <w:r w:rsidDel="00000000" w:rsidR="00000000" w:rsidRPr="00000000">
        <w:rPr>
          <w:rtl w:val="0"/>
        </w:rPr>
        <w:t xml:space="preserve">Però els supòsits de la igualtat aproximada i de l’avantatge recíproc o mutu impedeixen que l’enfocament abordi bé aquells casos en els quals es produeix una acusada asimetria de poder entre els individus potencialment subscriptors del contracte, la qual no pot ser corregida, fàcilment, variant la renda i la riquesa sense més ni més. Aquesta és, precisament, la raó per la qual les persones amb discapacitats físiques i cognitives greus queden, explícitament, omeses de la «posició original» i no apareixen incloses dins la definició de les capacitats dels ciutadans i les ciutadanes d’una «societat ben ordenada». Les capacitats de les esmentades persones són necessitats que, segons el mateix Rawls, caldrà abordar en el seu moment, però que no són preses en consideració quan la societat selecciona els seus principis i estructures més fonamentals. En la pràctica, això significa que s’han de sotmetre a la dominació d’altres persones (per molt benèvoles que aquestes siguin). Aquest problema es veu exacerbat, a més, pel fet que la concepció kantiana que Rawls té de la persona està basada en la racionalitat (tant en la racionalitat prudencial com en la moral), de manera que els éssers humans afectats de discapacitats cognitives serioses, senzillament, no compten com a persones pròpiament dites segons aquest enfocament. Rawls afirma, princi explícitament, que els éssers humans que siguin incapaços de subscriure acords o contractes no són creditors de justícia política. Així, doncs, Rawls posa en dubte l’aplicabilitat de la qüestió de la justícia en general en el cas de moltíssimes persones amb discapacitats.</w:t>
      </w:r>
    </w:p>
    <w:p w:rsidR="00000000" w:rsidDel="00000000" w:rsidP="00000000" w:rsidRDefault="00000000" w:rsidRPr="00000000" w14:paraId="00000016">
      <w:pPr>
        <w:jc w:val="both"/>
        <w:rPr/>
      </w:pPr>
      <w:r w:rsidDel="00000000" w:rsidR="00000000" w:rsidRPr="00000000">
        <w:rPr>
          <w:rtl w:val="0"/>
        </w:rPr>
      </w:r>
    </w:p>
    <w:p w:rsidR="00000000" w:rsidDel="00000000" w:rsidP="00000000" w:rsidRDefault="00000000" w:rsidRPr="00000000" w14:paraId="00000017">
      <w:pPr>
        <w:jc w:val="both"/>
        <w:rPr>
          <w:b w:val="1"/>
          <w:bCs w:val="1"/>
        </w:rPr>
      </w:pPr>
      <w:r w:rsidDel="00000000" w:rsidR="00000000" w:rsidRPr="00000000">
        <w:rPr>
          <w:b w:val="1"/>
          <w:bCs w:val="1"/>
          <w:rtl w:val="0"/>
        </w:rPr>
        <w:t xml:space="preserve">[4] [Les teories contractualistes també marginen dels deures polítics els animals no humans quan aquests han de ser subjectes de justícia i són posseïdors d’una dignitat]</w:t>
      </w:r>
    </w:p>
    <w:p w:rsidR="00000000" w:rsidDel="00000000" w:rsidP="00000000" w:rsidRDefault="00000000" w:rsidRPr="00000000" w14:paraId="00000018">
      <w:pPr>
        <w:jc w:val="both"/>
        <w:rPr/>
      </w:pPr>
      <w:r w:rsidDel="00000000" w:rsidR="00000000" w:rsidRPr="00000000">
        <w:rPr>
          <w:rtl w:val="0"/>
        </w:rPr>
      </w:r>
    </w:p>
    <w:p w:rsidR="00000000" w:rsidDel="00000000" w:rsidP="00000000" w:rsidRDefault="00000000" w:rsidRPr="00000000" w14:paraId="00000019">
      <w:pPr>
        <w:jc w:val="both"/>
        <w:rPr/>
      </w:pPr>
      <w:r w:rsidDel="00000000" w:rsidR="00000000" w:rsidRPr="00000000">
        <w:rPr>
          <w:rtl w:val="0"/>
        </w:rPr>
        <w:t xml:space="preserve">Respecte als animals no-humans, Rawls no creu que la nostra relació amb aquests impliqui abordar temes relacionats amb la justícia presumiblement per raons similars a les anteriors; és a dir, per l’absència, en ells, de capacitat racional. Per això entén que tenim deures ètics envers els animals, però no deures polítics. Sostinc que la presència, en un ens, de qualsevol tipus de capacitat d’acció (agència) o de conació, acompanyades de la seva condició d’ésser sensible, fa que siguin pertinents les qüestions relacionades amb la justícia i que resulti apropiat considerar, l’ésser en qüestió, objecte d’una teoria política de la justícia, sigui, o no, capaç d’entendre o de valorar l’esmentada teoria. Aquesta diferència en la concepció bàsica d’on (i per a qui) resulta apropiada la justícia em porta a la conclusió (immediata per a mi) que gairebé tots els animals (a excepció, potser, d’aquells dotats d’una sensibilitat molt reduïda i de nul·la mobilitat, com podria ser el cas de les esponges) són subjectes de justícia i posseïdors d’una dignitat (vinculada a la forma d’agència característica de la seva espècie) que és mereixedora del respecte i del suport de les lleis i les institucions. L’enfocament de les capacitats necessita ser modificat per abordar les obligacions envers els animals no-humans, però aquesta modificació és senzilla i immediata, i no obliga a desfer-se de cap element essencial de la teoria.</w:t>
      </w:r>
    </w:p>
    <w:p w:rsidR="00000000" w:rsidDel="00000000" w:rsidP="00000000" w:rsidRDefault="00000000" w:rsidRPr="00000000" w14:paraId="0000001A">
      <w:pPr>
        <w:jc w:val="both"/>
        <w:rPr/>
      </w:pPr>
      <w:r w:rsidDel="00000000" w:rsidR="00000000" w:rsidRPr="00000000">
        <w:rPr>
          <w:rtl w:val="0"/>
        </w:rPr>
      </w:r>
    </w:p>
    <w:p w:rsidR="00000000" w:rsidDel="00000000" w:rsidP="00000000" w:rsidRDefault="00000000" w:rsidRPr="00000000" w14:paraId="0000001B">
      <w:pPr>
        <w:jc w:val="both"/>
        <w:rPr/>
      </w:pPr>
      <w:r w:rsidDel="00000000" w:rsidR="00000000" w:rsidRPr="00000000">
        <w:rPr>
          <w:rtl w:val="0"/>
        </w:rPr>
      </w:r>
    </w:p>
    <w:p w:rsidR="00000000" w:rsidDel="00000000" w:rsidP="00000000" w:rsidRDefault="00000000" w:rsidRPr="00000000" w14:paraId="0000001C">
      <w:pPr>
        <w:jc w:val="both"/>
        <w:rPr>
          <w:b w:val="1"/>
          <w:bCs w:val="1"/>
        </w:rPr>
      </w:pPr>
      <w:r w:rsidDel="00000000" w:rsidR="00000000" w:rsidRPr="00000000">
        <w:rPr>
          <w:b w:val="1"/>
          <w:bCs w:val="1"/>
          <w:rtl w:val="0"/>
        </w:rPr>
        <w:t xml:space="preserve">Capítol 4. Sisena secció. Conseqüencialisme i deontologia (1r, 3r, 4t i 5è paràgrafs)</w:t>
      </w:r>
    </w:p>
    <w:p w:rsidR="00000000" w:rsidDel="00000000" w:rsidP="00000000" w:rsidRDefault="00000000" w:rsidRPr="00000000" w14:paraId="0000001D">
      <w:pPr>
        <w:jc w:val="both"/>
        <w:rPr/>
      </w:pPr>
      <w:r w:rsidDel="00000000" w:rsidR="00000000" w:rsidRPr="00000000">
        <w:rPr>
          <w:rtl w:val="0"/>
        </w:rPr>
      </w:r>
    </w:p>
    <w:p w:rsidR="00000000" w:rsidDel="00000000" w:rsidP="00000000" w:rsidRDefault="00000000" w:rsidRPr="00000000" w14:paraId="0000001E">
      <w:pPr>
        <w:jc w:val="both"/>
        <w:rPr>
          <w:b w:val="1"/>
          <w:bCs w:val="1"/>
        </w:rPr>
      </w:pPr>
      <w:r w:rsidDel="00000000" w:rsidR="00000000" w:rsidRPr="00000000">
        <w:rPr>
          <w:b w:val="1"/>
          <w:bCs w:val="1"/>
          <w:rtl w:val="0"/>
        </w:rPr>
        <w:t xml:space="preserve">[1] [Descripció dels fonaments bàsics i dels trets distintius de les teories conseqüencialistes i les teories deontològiques]</w:t>
      </w:r>
    </w:p>
    <w:p w:rsidR="00000000" w:rsidDel="00000000" w:rsidP="00000000" w:rsidRDefault="00000000" w:rsidRPr="00000000" w14:paraId="0000001F">
      <w:pPr>
        <w:jc w:val="both"/>
        <w:rPr/>
      </w:pPr>
      <w:r w:rsidDel="00000000" w:rsidR="00000000" w:rsidRPr="00000000">
        <w:rPr>
          <w:rtl w:val="0"/>
        </w:rPr>
      </w:r>
    </w:p>
    <w:p w:rsidR="00000000" w:rsidDel="00000000" w:rsidP="00000000" w:rsidRDefault="00000000" w:rsidRPr="00000000" w14:paraId="00000020">
      <w:pPr>
        <w:jc w:val="both"/>
        <w:rPr/>
      </w:pPr>
      <w:r w:rsidDel="00000000" w:rsidR="00000000" w:rsidRPr="00000000">
        <w:rPr>
          <w:rtl w:val="0"/>
        </w:rPr>
        <w:t xml:space="preserve">En ètica i en política, els enfocaments filosòfics solen dividir-se (de vegades, de manera manifestament simplista) en dos grups. Els conseqüencialistes són aquells que valoren la bondat d’una opció preguntant-se si (i en quina mesura) maximitza les millors conseqüències, definides conforme a una certa teoria de quines conseqüències són bones i quines no. Dit d’una altra manera: parteixen d’una concepció del bé i defineixen el que és correcte i el que és incorrecte d’una elecció</w:t>
      </w:r>
    </w:p>
    <w:p w:rsidR="00000000" w:rsidDel="00000000" w:rsidP="00000000" w:rsidRDefault="00000000" w:rsidRPr="00000000" w14:paraId="00000021">
      <w:pPr>
        <w:jc w:val="both"/>
        <w:rPr/>
      </w:pPr>
      <w:r w:rsidDel="00000000" w:rsidR="00000000" w:rsidRPr="00000000">
        <w:rPr>
          <w:rtl w:val="0"/>
        </w:rPr>
        <w:t xml:space="preserve">en funció de l’esmentada concepció. Es diferencien de les perspectives deontològiques, que són aquelles que parteixen d’una concepció del deure o l’acció correcta i permeten la recerca del bé només dins dels confins del que és correcte. Kant, per exemple, permet que l’agent moral busqui la felicitat, però només si ho fa estrictament dins dels límits d’una moral construïda sobre el respecte i la imparcialitat.</w:t>
      </w:r>
    </w:p>
    <w:p w:rsidR="00000000" w:rsidDel="00000000" w:rsidP="00000000" w:rsidRDefault="00000000" w:rsidRPr="00000000" w14:paraId="00000022">
      <w:pPr>
        <w:jc w:val="both"/>
        <w:rPr/>
      </w:pPr>
      <w:r w:rsidDel="00000000" w:rsidR="00000000" w:rsidRPr="00000000">
        <w:rPr>
          <w:rtl w:val="0"/>
        </w:rPr>
      </w:r>
    </w:p>
    <w:p w:rsidR="00000000" w:rsidDel="00000000" w:rsidP="00000000" w:rsidRDefault="00000000" w:rsidRPr="00000000" w14:paraId="00000023">
      <w:pPr>
        <w:jc w:val="both"/>
        <w:rPr>
          <w:b w:val="1"/>
          <w:bCs w:val="1"/>
        </w:rPr>
      </w:pPr>
      <w:r w:rsidDel="00000000" w:rsidR="00000000" w:rsidRPr="00000000">
        <w:rPr>
          <w:b w:val="1"/>
          <w:bCs w:val="1"/>
          <w:rtl w:val="0"/>
        </w:rPr>
        <w:t xml:space="preserve">[2] [L’enfocament de les «capacitats» està estretament lligat a la deontologia kantiana i comparteix amb aquesta els seus principis fonamentals i la seva crítica a l’utilitarisme]</w:t>
      </w:r>
    </w:p>
    <w:p w:rsidR="00000000" w:rsidDel="00000000" w:rsidP="00000000" w:rsidRDefault="00000000" w:rsidRPr="00000000" w14:paraId="00000024">
      <w:pPr>
        <w:jc w:val="both"/>
        <w:rPr/>
      </w:pPr>
      <w:r w:rsidDel="00000000" w:rsidR="00000000" w:rsidRPr="00000000">
        <w:rPr>
          <w:rtl w:val="0"/>
        </w:rPr>
      </w:r>
    </w:p>
    <w:p w:rsidR="00000000" w:rsidDel="00000000" w:rsidP="00000000" w:rsidRDefault="00000000" w:rsidRPr="00000000" w14:paraId="00000025">
      <w:pPr>
        <w:jc w:val="both"/>
        <w:rPr/>
      </w:pPr>
      <w:r w:rsidDel="00000000" w:rsidR="00000000" w:rsidRPr="00000000">
        <w:rPr>
          <w:rtl w:val="0"/>
        </w:rPr>
        <w:t xml:space="preserve">L’enfocament de les capacitats està estretament vinculat a la deontologia. Un dels seus antecedents històrics més importants és Kant, ja que afirma que la persecució de l’objectiu del benestar social no s’hauria de fer mai de manera que vulnerés els drets fonamentals de les persones. De fet, coincideix, amb els kantians, a afirmar que l’utilitarisme no atribueix la importància correcta a cada persona ni la idea de respecte per les persones. El principi segons el qual cada persona és una finalitat en si mateixa, al qual he atribuït una rellevància central en aquest enfocament, des de Dones i desenvolupament humà, en endavant, és una versió d’aquest deure de respecte a la humanitat com a finalitat en si mateixa (i de l’obligació consubstancial de no tractar-la com un simple mitjà) propugnat per Kant en el seu moment.</w:t>
      </w:r>
    </w:p>
    <w:p w:rsidR="00000000" w:rsidDel="00000000" w:rsidP="00000000" w:rsidRDefault="00000000" w:rsidRPr="00000000" w14:paraId="00000026">
      <w:pPr>
        <w:jc w:val="both"/>
        <w:rPr/>
      </w:pPr>
      <w:r w:rsidDel="00000000" w:rsidR="00000000" w:rsidRPr="00000000">
        <w:rPr>
          <w:rtl w:val="0"/>
        </w:rPr>
      </w:r>
    </w:p>
    <w:p w:rsidR="00000000" w:rsidDel="00000000" w:rsidP="00000000" w:rsidRDefault="00000000" w:rsidRPr="00000000" w14:paraId="00000027">
      <w:pPr>
        <w:jc w:val="both"/>
        <w:rPr>
          <w:b w:val="1"/>
          <w:bCs w:val="1"/>
        </w:rPr>
      </w:pPr>
      <w:r w:rsidDel="00000000" w:rsidR="00000000" w:rsidRPr="00000000">
        <w:rPr>
          <w:b w:val="1"/>
          <w:bCs w:val="1"/>
          <w:rtl w:val="0"/>
        </w:rPr>
        <w:t xml:space="preserve">[3] [L’enfocament de les «capacitats» segueix la deontologia, també, en la seva defensa del liberalisme polític amb el qual el conseqüencialisme és més incompatible]</w:t>
      </w:r>
    </w:p>
    <w:p w:rsidR="00000000" w:rsidDel="00000000" w:rsidP="00000000" w:rsidRDefault="00000000" w:rsidRPr="00000000" w14:paraId="00000028">
      <w:pPr>
        <w:jc w:val="both"/>
        <w:rPr/>
      </w:pPr>
      <w:r w:rsidDel="00000000" w:rsidR="00000000" w:rsidRPr="00000000">
        <w:rPr>
          <w:rtl w:val="0"/>
        </w:rPr>
      </w:r>
    </w:p>
    <w:p w:rsidR="00000000" w:rsidDel="00000000" w:rsidP="00000000" w:rsidRDefault="00000000" w:rsidRPr="00000000" w14:paraId="00000029">
      <w:pPr>
        <w:jc w:val="both"/>
        <w:rPr/>
      </w:pPr>
      <w:r w:rsidDel="00000000" w:rsidR="00000000" w:rsidRPr="00000000">
        <w:rPr>
          <w:rtl w:val="0"/>
        </w:rPr>
        <w:t xml:space="preserve">L’enfocament de les capacitats també se situa molt pròxim a la deontologia en la seva adopció del liberalisme polític. El conseqüencialisme sol presentar-se, normalment, com una doctrina comprehensiva: l’elecció correcta (no importa el lloc ni el tema) és aquella que maximitza les conseqüències bones tal com les defineix la teoria. Els conseqüencialistes no distingeixen, normalment, entre un àmbit polític de la vida i la resta dels àmbits, ni circumscriuen les seves recomanacions al terreny polític. Asseguren que el seu mètode d’elecció és el correcte en tots els contextos. Amb això aconsegueixen plantejar, als ciutadans i a les ciutadanes, exigències que són desraonades des del punt de vista del liberalisme polític. Molts ciutadans i ciutadanes religiosos podrien estar, perfectament conformes, amb el fet de donar el seu suport a una societat basada en les deu capacitats i, alhora, negar-se a acceptar que l’elecció correcta sigui, sempre, aquella que maximitza les conseqüències bones: la seva religió ofereix, potser, una concepció diferent de l’elecció correcta. Per això, si el conseqüencialisme es presenta (com, normalment, és el cas) com una concepció comprehensiva tant de les accions correctes com de les bones, no podria servir de base per als principis polítics de cap mena de liberalisme polític, ja sigui del propugnat per l’enfocament de les capacitats o de qualsevol altre.</w:t>
      </w:r>
    </w:p>
    <w:p w:rsidR="00000000" w:rsidDel="00000000" w:rsidP="00000000" w:rsidRDefault="00000000" w:rsidRPr="00000000" w14:paraId="0000002A">
      <w:pPr>
        <w:jc w:val="both"/>
        <w:rPr/>
      </w:pPr>
      <w:r w:rsidDel="00000000" w:rsidR="00000000" w:rsidRPr="00000000">
        <w:rPr>
          <w:rtl w:val="0"/>
        </w:rPr>
      </w:r>
    </w:p>
    <w:p w:rsidR="00000000" w:rsidDel="00000000" w:rsidP="00000000" w:rsidRDefault="00000000" w:rsidRPr="00000000" w14:paraId="0000002B">
      <w:pPr>
        <w:jc w:val="both"/>
        <w:rPr>
          <w:b w:val="1"/>
          <w:bCs w:val="1"/>
        </w:rPr>
      </w:pPr>
      <w:r w:rsidDel="00000000" w:rsidR="00000000" w:rsidRPr="00000000">
        <w:rPr>
          <w:b w:val="1"/>
          <w:bCs w:val="1"/>
          <w:rtl w:val="0"/>
        </w:rPr>
        <w:t xml:space="preserve">[4] [L’enfocament de les «capacitats» també es pot entendre com a una mena conseqüencialisme polític ja que es pot considerar un «enfocament orientat als resultats» a diferència de l’«enfocament procedimentalista» que caracteritza el deontologisme]</w:t>
      </w:r>
    </w:p>
    <w:p w:rsidR="00000000" w:rsidDel="00000000" w:rsidP="00000000" w:rsidRDefault="00000000" w:rsidRPr="00000000" w14:paraId="0000002C">
      <w:pPr>
        <w:jc w:val="both"/>
        <w:rPr/>
      </w:pPr>
      <w:r w:rsidDel="00000000" w:rsidR="00000000" w:rsidRPr="00000000">
        <w:rPr>
          <w:rtl w:val="0"/>
        </w:rPr>
      </w:r>
    </w:p>
    <w:p w:rsidR="00000000" w:rsidDel="00000000" w:rsidP="00000000" w:rsidRDefault="00000000" w:rsidRPr="00000000" w14:paraId="0000002D">
      <w:pPr>
        <w:jc w:val="both"/>
        <w:rPr/>
      </w:pPr>
      <w:r w:rsidDel="00000000" w:rsidR="00000000" w:rsidRPr="00000000">
        <w:rPr>
          <w:rtl w:val="0"/>
        </w:rPr>
        <w:t xml:space="preserve">Hi ha un altre sentit, tanmateix, en què l’enfocament de les capacitats pot ser entès com un parent del conseqüencialisme, entès, no directament, com una forma de conseqüencialisme polític i benestarista. I és que l’enfocament proclama que la manera correcta de jutjar si una situació política és adequada des del punt de vista de la justícia, consisteix a observar resultats: ¿Se satisfan i s’asseguren els drets fonamentals dels ciutadans i les ciutadanes? Aleshores, doncs, podria considerar-se com un enfocament orientat a resultats, a diferència dels enfocaments procedimentalistes pels quals solen decantar-se els deontologistes. John Rawls ofereix el següent, i molt esclaridor, exemple. Suposem que estem repartint un pastís entre diverses persones i volem dividir-lo a trossos equitatius. Una manera d’entendre aquesta equitat és fixar-nos en el resultat de la divisió: el procés equitatiu o imparcial seria, doncs, aquell segons el qual s’ha repartit, a parts iguals, el pastís. Però una altra manera de concebre l’equitat és centrant-nos en el procediment: la divisió equitativa o imparcial podria ser aquella en què cada una tingués un ganivet per tallar-se’n un tros i servir-se’l. Rawls troba similituds entre la seva pròpia teoria i aquest segon tipus de divisió i repartiment. L’enfocament de les capacitats, per la seva part, és un exemple del primer. Quan analitzem una societat i ens preguntem si és, mínimament, justa, ens fixem en si ha aconseguit i ha assegurat les capacitats de cada un. Evidentment, hi ha capacitats que comporten una idea de procediment imparcial (en el dret penal, per exemple, el dret a un judici just; en altres àmbits, drets a un procés reglat en diverses esferes). Però aquestes s’integren dins del resultat bo, el compliment del qual serveix, de mesura d’avaluació, del (bon o dolent) funcionament de la societat.</w:t>
      </w:r>
    </w:p>
    <w:p w:rsidR="00000000" w:rsidDel="00000000" w:rsidP="00000000" w:rsidRDefault="00000000" w:rsidRPr="00000000" w14:paraId="0000002E">
      <w:pPr>
        <w:jc w:val="both"/>
        <w:rPr>
          <w:sz w:val="24"/>
          <w:szCs w:val="24"/>
        </w:rPr>
      </w:pPr>
      <w:r w:rsidDel="00000000" w:rsidR="00000000" w:rsidRPr="00000000">
        <w:rPr>
          <w:rtl w:val="0"/>
        </w:rPr>
      </w:r>
    </w:p>
    <w:p w:rsidR="00000000" w:rsidDel="00000000" w:rsidP="00000000" w:rsidRDefault="00000000" w:rsidRPr="00000000" w14:paraId="0000002F">
      <w:pPr>
        <w:jc w:val="both"/>
        <w:rPr>
          <w:sz w:val="24"/>
          <w:szCs w:val="24"/>
        </w:rPr>
      </w:pPr>
      <w:r w:rsidDel="00000000" w:rsidR="00000000" w:rsidRPr="00000000">
        <w:rPr>
          <w:rtl w:val="0"/>
        </w:rPr>
      </w:r>
    </w:p>
    <w:p w:rsidR="00000000" w:rsidDel="00000000" w:rsidP="00000000" w:rsidRDefault="00000000" w:rsidRPr="00000000" w14:paraId="00000030">
      <w:pPr>
        <w:jc w:val="right"/>
        <w:rPr/>
      </w:pPr>
      <w:r w:rsidDel="00000000" w:rsidR="00000000" w:rsidRPr="00000000">
        <w:rPr>
          <w:rtl w:val="0"/>
        </w:rPr>
        <w:t xml:space="preserve">—</w:t>
      </w:r>
      <w:r w:rsidDel="00000000" w:rsidR="00000000" w:rsidRPr="00000000">
        <w:rPr>
          <w:i w:val="1"/>
          <w:iCs w:val="1"/>
          <w:rtl w:val="0"/>
        </w:rPr>
        <w:t xml:space="preserve">Crear capacitats </w:t>
      </w:r>
      <w:r w:rsidDel="00000000" w:rsidR="00000000" w:rsidRPr="00000000">
        <w:rPr>
          <w:rtl w:val="0"/>
        </w:rPr>
        <w:t xml:space="preserve">de Martha C. Nussbaum,</w:t>
        <w:br w:type="textWrapping"/>
        <w:t xml:space="preserve">dins de José Vidal González Barredo, </w:t>
      </w:r>
      <w:r w:rsidDel="00000000" w:rsidR="00000000" w:rsidRPr="00000000">
        <w:rPr>
          <w:i w:val="1"/>
          <w:iCs w:val="1"/>
          <w:rtl w:val="0"/>
        </w:rPr>
        <w:t xml:space="preserve">Noesi.</w:t>
        <w:br w:type="textWrapping"/>
        <w:t xml:space="preserve">Textos de filosofia per a les PAU 2025</w:t>
      </w:r>
      <w:r w:rsidDel="00000000" w:rsidR="00000000" w:rsidRPr="00000000">
        <w:rPr>
          <w:rtl w:val="0"/>
        </w:rPr>
        <w:t xml:space="preserve">, 461-468.</w:t>
      </w:r>
    </w:p>
    <w:sectPr>
      <w:footerReference r:id="rId7" w:type="default"/>
      <w:pgSz w:h="16838" w:w="11906" w:orient="portrait"/>
      <w:pgMar w:bottom="1440.0000000000002" w:top="1440.0000000000002" w:left="1440.0000000000002" w:right="1440.000000000000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1">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