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rHeight w:val="774.5678710937501"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2">
            <w:pPr>
              <w:rPr/>
            </w:pPr>
            <w:r w:rsidDel="00000000" w:rsidR="00000000" w:rsidRPr="00000000">
              <w:rPr/>
              <w:drawing>
                <wp:inline distB="114300" distT="114300" distL="114300" distR="114300">
                  <wp:extent cx="766763" cy="383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66763" cy="38338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3">
            <w:pPr>
              <w:jc w:val="right"/>
              <w:rPr>
                <w:sz w:val="18"/>
                <w:szCs w:val="18"/>
              </w:rPr>
            </w:pPr>
            <w:r w:rsidDel="00000000" w:rsidR="00000000" w:rsidRPr="00000000">
              <w:rPr>
                <w:b w:val="1"/>
                <w:bCs w:val="1"/>
                <w:color w:val="cc0000"/>
                <w:rtl w:val="0"/>
              </w:rPr>
              <w:t xml:space="preserve">Història de la filosofia</w:t>
              <w:br w:type="textWrapping"/>
            </w:r>
            <w:r w:rsidDel="00000000" w:rsidR="00000000" w:rsidRPr="00000000">
              <w:rPr>
                <w:rtl w:val="0"/>
              </w:rPr>
              <w:t xml:space="preserve">La filosofia de Martha C. Nussbaum</w:t>
            </w:r>
            <w:r w:rsidDel="00000000" w:rsidR="00000000" w:rsidRPr="00000000">
              <w:rPr>
                <w:rtl w:val="0"/>
              </w:rPr>
            </w:r>
          </w:p>
        </w:tc>
      </w:tr>
    </w:tbl>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bCs w:val="1"/>
          <w:i w:val="1"/>
          <w:iCs w:val="1"/>
          <w:sz w:val="38"/>
          <w:szCs w:val="38"/>
          <w:rtl w:val="0"/>
        </w:rPr>
        <w:t xml:space="preserve">Crear capacitats: L’enfocament del desenvolupament humà</w:t>
      </w:r>
      <w:r w:rsidDel="00000000" w:rsidR="00000000" w:rsidRPr="00000000">
        <w:rPr>
          <w:sz w:val="36"/>
          <w:szCs w:val="36"/>
          <w:rtl w:val="0"/>
        </w:rPr>
        <w:t xml:space="preserve">, de Martha C. Nussbaum</w:t>
      </w: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b w:val="1"/>
          <w:bCs w:val="1"/>
          <w:sz w:val="26"/>
          <w:szCs w:val="26"/>
        </w:rPr>
      </w:pPr>
      <w:r w:rsidDel="00000000" w:rsidR="00000000" w:rsidRPr="00000000">
        <w:rPr>
          <w:b w:val="1"/>
          <w:bCs w:val="1"/>
          <w:sz w:val="26"/>
          <w:szCs w:val="26"/>
          <w:rtl w:val="0"/>
        </w:rPr>
        <w:t xml:space="preserve">Capítol 3. Segona secció. L’enfocament utilitarista (tota la secció llevat del 5è, 6è i 9è paràgrafs)</w:t>
      </w:r>
    </w:p>
    <w:p w:rsidR="00000000" w:rsidDel="00000000" w:rsidP="00000000" w:rsidRDefault="00000000" w:rsidRPr="00000000" w14:paraId="0000000A">
      <w:pPr>
        <w:jc w:val="both"/>
        <w:rPr>
          <w:b w:val="1"/>
          <w:bCs w:val="1"/>
          <w:sz w:val="24"/>
          <w:szCs w:val="24"/>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[1] [Com mesura l’utilitarisme la qualitat de vida d’un país i quines són les seves virtuts]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Un lloc per sobre del PIB en l’escala de l’adequació, és on se situa un altre enfocament econòmic comú que mesura la qualitat de vida en una nació fixant-se en la utilitat total o mitjana d’aquesta, entenent per utilitat la satisfacció de preferències. (Aquest enfocament té els seus orígens en la filosofia política, i en el capítol 4 consideraré més a fons la seva versió filosòfica.) L’enfocament utilitarista té la virtut d’interessar-se per les persones: mesura la qualitat de vida en funció de les impressions manifestades per aquestes persones sobre les seves existències concretes. I té, també, un altre gran mèrit proclamat per Jeremy Bentham, el fundador de l’utilitarisme: «Cada un compta com un i no pas com més d’un». Això significa que la satisfacció de la persona A compta igual que la satisfacció de la persona B, encara que A sigui un camperol i B un rei. A cadascuna d’aquestes persones li correspon un vot i res més que un vot. Així que la teoria és bastant democràtica en potència, i fins i tot (plantejada en contextos històrics de jerarquització social arrelada) radical. I aquesta era exactament la intenció amb què la va exposar el mateix Bentham. Els qui menyspreen l’utilitarisme tractant-lo d’insensible o de ser aliat dels grans interessos empresarials solen oblidar, erròniament, la radicalitat dels orígens i els compromisos d’aquesta filosofia.</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b w:val="1"/>
          <w:bCs w:val="1"/>
          <w:rtl w:val="0"/>
        </w:rPr>
        <w:t xml:space="preserve">[2] [A l’enfocament utilitarista se li poden fer quatre objeccions]</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Ara bé, les intencions no ho són tot. L’enfocament utilitarista, entès com a indicador de la qualitat de vida en una nació, presenta quatre problemes que el fan menys democràtic del que sembla i el converteixen en una guia enganyosa de cara a l’elaboració de polítiques públiques.</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bCs w:val="1"/>
        </w:rPr>
      </w:pPr>
      <w:r w:rsidDel="00000000" w:rsidR="00000000" w:rsidRPr="00000000">
        <w:rPr>
          <w:b w:val="1"/>
          <w:bCs w:val="1"/>
          <w:rtl w:val="0"/>
        </w:rPr>
        <w:t xml:space="preserve">[3] [Primera objecció: com passa amb el PIB, la utilitat total és un indicador agregatiu que no deixa veure ni corregir les desigualtats que hi ha dins de cada país]</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En primer lloc, igual que en l’enfocament del PIB, agrega vides. Fins i tot encara que prengui, com a referència, les satisfaccions, més que no pas la riquesa i, d’aquesta manera, a diferència de l’enfocament del PIB, no ignori, per complet, la persona pobra que, sense posseir cap riquesa, acaba evidenciant un problema similar. Un país pot obtenir una mitjana o un total d’utilitat molt elevat, si a molts dels seus habitants els va bastant bé, encara que unes quantes persones situades en el fons de l’escala social estiguin patint considerablement. De fet, l’enfocament justifica, fins i tot, el fet que s’infligeixi semblant vida de misèria i sofriment a una classe marginada, sempre que l’esmentada estratègia serveixi per augmentar el nivell de satisfacció mitjana. I si l’esclavitud i la tortura estan descartades sota aquest enfocament (suposant que realment ho estiguin), és únicament en virtut de la suposada ineficiència d’ambdues pràctiques que s’al·lega en certs arguments empírics no del tot clars.</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b w:val="1"/>
          <w:bCs w:val="1"/>
        </w:rPr>
      </w:pPr>
      <w:r w:rsidDel="00000000" w:rsidR="00000000" w:rsidRPr="00000000">
        <w:rPr>
          <w:b w:val="1"/>
          <w:bCs w:val="1"/>
          <w:rtl w:val="0"/>
        </w:rPr>
        <w:t xml:space="preserve">[4] [Segona objecció: la utilitat total és un indicador reduccionista perquè la diversitat de satisfaccions no es pot mesurar a través d’una escala única]</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En segon lloc, i com també fa l’enfocament del PIB, l’utilitarisme agrega els diversos components de cada una d’aquestes vides en un sol concepte. El terme satisfacció, com el terme plaer (l’altre terme que els utilitaristes tendeixen a fer servir com a mesura multiusos), suggereix unicitat i commensurabilitat allà on la vida real evoca diversitat i incommensurabilitat. Pensem, si no, en la satisfacció que sentim quan ingerim un bon menjar. ¿Com podem comparar aquesta satisfacció amb el plaer, o la satisfacció, que obtenim ajudant un amic que ens necessita, o criant un nen, o escoltant una esquinçadora, però profunda, peça musical? ¿Per on començaríem, si més no, a commensurar el plaer d’escoltar la Desena simfonia de Mahler amb el que sentim menjant un gelat de cucurutxo? La idea, tan sols, ja sembla ridícula per si mateixa. Normalment, no fem tals comparacions: pensem que la vida humana conté plaers (o satisfaccions) de moltes classes diferents. Si ens preguntessin «Com està de satisfet, vostè, amb la seva vida?» (el tipus de pregunta que som tan aficionats a formular els científics socials utilitaristes), ens sentiríem, certament, inclinats a respondre alguna cosa corn ara aquesta: «Bé, la meva salut és genial, la feina em va bé, però una de les meves amigues està malalta i això em té molt preocupada». Els científics socials utilitaristes, no obstant això, no permeten un tipus de resposta humana complexa com aquesta. Confeccionen enquestes dissenyades perquè donin, com a resultat, una única escala de valoració, i els qui les responen han de triar un únic nombre. El fet que hi hagi tants individus que responen a aquesta pregunta de totes les maneres possibles, no és cap prova que coincideixin amb qui la formula, en la premissa que totes les satisfaccions són commensurables en una única escala. Si alguna cosa ens mostra aquesta reacció dels enquestats i les enquestades, és una característica que ja coneixem: que les persones som diferents de l’autoritat. Si una persona en una posició d’autoritat ha formulat el qüestionari d’una certa manera, nosaltres l’acceptem tal com està, encara que ens sembli força ordinari. Al cap i a la fi, els qui no responen perquè estan en desacord amb la manera com s’ha plantejat la pregunta no tenen en compte el resultat final.</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b w:val="1"/>
          <w:bCs w:val="1"/>
        </w:rPr>
      </w:pPr>
      <w:r w:rsidDel="00000000" w:rsidR="00000000" w:rsidRPr="00000000">
        <w:rPr>
          <w:b w:val="1"/>
          <w:bCs w:val="1"/>
          <w:rtl w:val="0"/>
        </w:rPr>
        <w:t xml:space="preserve">[5] [Aquestes dues primeres objeccions tenen una possible correcció: amb l’establiment d’un «mínim social» i amb un «utilitarisme qualitatiu» com el de John Stuart Mill]</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És possible, des de l’enfocament utilitarista, imaginar una resposta a la meva primera i a la meva segona crítiques: a la primera, adoptant una concepció afegida de mínim social; a la segona, admetent que la utilitat té dimensions plurals. John Stuart Mill va efectuar aquesta segona correcció proposant distincions qualitatives dins l’àmbit de la utilitat. En el seu important article titulat «Plural Utility», Sen segueix aquest camí assenyalat per Mill. I, d’altra banda, Mill, si més no, va començar a donar una resposta a la primera objecció, garantint una posició segura per als drets polítics, situats, així, fora de l’òrbita del càlcul utilitarista.</w:t>
      </w:r>
    </w:p>
    <w:p w:rsidR="00000000" w:rsidDel="00000000" w:rsidP="00000000" w:rsidRDefault="00000000" w:rsidRPr="00000000" w14:paraId="0000001E">
      <w:pPr>
        <w:jc w:val="both"/>
        <w:rPr>
          <w:b w:val="1"/>
          <w:bCs w:val="1"/>
        </w:rPr>
      </w:pPr>
      <w:r w:rsidDel="00000000" w:rsidR="00000000" w:rsidRPr="00000000">
        <w:rPr>
          <w:rtl w:val="0"/>
        </w:rPr>
      </w:r>
    </w:p>
    <w:p w:rsidR="00000000" w:rsidDel="00000000" w:rsidP="00000000" w:rsidRDefault="00000000" w:rsidRPr="00000000" w14:paraId="0000001F">
      <w:pPr>
        <w:jc w:val="both"/>
        <w:rPr>
          <w:b w:val="1"/>
          <w:bCs w:val="1"/>
        </w:rPr>
      </w:pPr>
      <w:r w:rsidDel="00000000" w:rsidR="00000000" w:rsidRPr="00000000">
        <w:rPr>
          <w:b w:val="1"/>
          <w:bCs w:val="1"/>
          <w:rtl w:val="0"/>
        </w:rPr>
        <w:t xml:space="preserve">[6] [Tercera objecció —que ens apareix com a insalvable—: les preferències i les satisfaccions de les persones estan influïdes per les seves condicions socials concretes i es poden arribar a modelar socialment]</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t xml:space="preserve">Hi ha una tercera objecció, tanmateix, que penetra més a fons en la crítica a l’estàndard basat en la utilitat i que ens obliga a renunciar-hi per complet. Aquesta objecció, popularitzada per Sen i Jon Elster, se centra en la mal·leabilitat social de les preferències i les satisfaccions. Les preferències no són innates ni perennes: responen a les condicions socials. Quan la societat ha posat certes coses fora de l’abast d’algunes persones, aquestes, normalment, aprenen a no voler tals coses; formen el que Elster i Sen anomenen preferències adaptatives. De vegades, l’adaptació es produeix, fins i tot, després que la persona volgués, inicialment, aquesta cosa. El títol mateix del llibre d’Elster, </w:t>
      </w:r>
      <w:r w:rsidDel="00000000" w:rsidR="00000000" w:rsidRPr="00000000">
        <w:rPr>
          <w:i w:val="1"/>
          <w:iCs w:val="1"/>
          <w:rtl w:val="0"/>
        </w:rPr>
        <w:t xml:space="preserve">Raïm amarg</w:t>
      </w:r>
      <w:r w:rsidDel="00000000" w:rsidR="00000000" w:rsidRPr="00000000">
        <w:rPr>
          <w:rtl w:val="0"/>
        </w:rPr>
        <w:t xml:space="preserve">, s’inspira en la faula de la guineu que diu que el raïm és verd des del moment en què s’adona que no pot abastar-lo. En ocasions, tanmateix, les persones aprenen, des del principi, a no voler aquests béns perquè estan situats fora dels límits assequibles pels individus del seu gènere, la seva raça o la seva classe. Les dones educades conforme a un model de la dona correcta, entesa com aquella que no treballa fora de casa o que no s’escolaritza més enllà de la infantesa, no solen desenvolupar el desig de fer coses així i, per tant, poden declarar-se satisfetes amb el seu estat, encara que se’ls hagin negat oportunitats de les quals haurien gaudit aprofitant-les per al seu benefici. Altres grups marginats també tendeixen a interioritzar la seva categoria de ciutadans o ciutadanes de segona classe. En definir l’objectiu social en termes de la satisfacció de preferències reals actuals, els enfocaments utilitaristes solen reforçar l’statu quo, que pot ser, al seu torn, molt injust.</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t xml:space="preserve">Aquests problemes queden, nítidament, ressaltats en la vida de la Vasanti, ja que ella no hauria declarat mai cap insatisfacció amb el seu analfabetisme o amb el seu aïllament de la participació política abans que la seva experiència conscienciadora amb el grup de la SEWA li mostrés la importància d’aquestes capacitats i l’animés a concebre’s, a si mateixa, com una persona d’igual vàlua que les altres. Encara que mai no va arribar a adaptar-se a la violència domèstica, sí que es va ajustar a una vida que mancava d’algunes de les capacitats centrals de la llista... fins que la nova situació la va conduir a apreciar el valor d’aquestes.</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b w:val="1"/>
          <w:bCs w:val="1"/>
        </w:rPr>
      </w:pPr>
      <w:r w:rsidDel="00000000" w:rsidR="00000000" w:rsidRPr="00000000">
        <w:rPr>
          <w:b w:val="1"/>
          <w:bCs w:val="1"/>
          <w:rtl w:val="0"/>
        </w:rPr>
        <w:t xml:space="preserve">[7] [Quarta objecció: en posar la satisfacció —que és un estat i no una activitat— com a objectiu, infravalora la llibertat que es pren només com a un mitjà i no com a un fi en si mateix]</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Existeix, també, una quarta i última objecció no tan contundent: l’enfocament utilitarista que he descrit se centra en la satisfacció com a objectiu. Aquesta s’entén, habitualment, com un estat o una condició de la persona que és resultat d’una activitat, però que no constitueix, en si mateixa, una forma d’activitat i que, de fet, pot, fins i tot, aconseguir-se sense que existeixin actes relacionats. Per exemple, una persona pot sentir-se satisfeta per una feina ben feta encara que no hagi estat així i l’hagin induïda a creure que sí que l’ha fet bé. El filòsof Robert Nozick va explicar, gràficament, aquesta possibilitat imaginant-se una «màquina d’experiències» a la qual poguéssim connectar-nos per tenir la falsa il·lusió d’estar estimant, treballant o menjant, i que ens permetés tenir les experiències de satisfacció associades a tals activitats, encara que, en realitat, no estiguéssim fent res d’això en absolut. La majoria de les persones, aposta Nozick, no optarien per l’esmentada màquina d’experiències, sinó que preferirien tenir una vida d’eleccions i activitats pròpies, fins i tot sabent, per endavant, que moltes d’aquestes activitats els oferirien frustracions. I la majoria dels seus lectors i lectores coincideixen amb ell.</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En definitiva, l’enfocament utilitarista infravalora la llibertat. Aquesta pot ser entesa com un mitjà per a l’obtenció de satisfacció i, en aquest aspecte, els utilitaristes i els teòrics de les capacitats podem coincidir, ja que també nosaltres subratllem la importància instrumental de la llibertat. Però la llibertat d’elegir i actuar és una finalitat a més d’un mitjà, i aquest és l’aspecte que l’actitud utilitarista convencional no pot captar.</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b w:val="1"/>
          <w:bCs w:val="1"/>
        </w:rPr>
      </w:pPr>
      <w:r w:rsidDel="00000000" w:rsidR="00000000" w:rsidRPr="00000000">
        <w:rPr>
          <w:b w:val="1"/>
          <w:bCs w:val="1"/>
          <w:rtl w:val="0"/>
        </w:rPr>
        <w:t xml:space="preserve">[8] [Les polítiques públiques, més enllà de poder tenir cura de les persones, han de protegir i respectar la llibertat d’elecció d’aquestes]</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t xml:space="preserve">La qüestió de la llibertat d’elecció i l’agència ocupen un lloc preponderant en el context de vides com la de la Vasanti. Les dones solen ser tractades com a persones dependents passives —criatures que cal cuidar (o no)—, més que no pas com a éssers humans independents, mereixedors de respecte per les seves decisions. Per dir-ho d’una altra manera, tendeixen a ser infantilitzades. Nosaltres pensem que, dins d’uns límits, la satisfacció és un objectiu apropiat en el cas de les nenes i els nens de poca edat, encara que també volem que tractin d’iniciar la seva activitat bastant aviat, per molt que aquesta els reporti alguna frustració. Però, sens dubte, cap estat passiu de satisfacció no és un objectiu apropiat per als éssers humans adults. Existeix una gran diferència entre una política pública orientada a cuidar-se de les persones i una altra que pretengui respectar i protegir la llibertat d’elecció. Fins i tot en l’àmbit de la nutrició, on, inicialment, es podria pensar que la satisfacció és l’únic que ens interessa, podem veure que una política que es limiti a subministrar menjar a les persones en comptes de donar-los la possibilitat d’elegir en matèria d’alimentació serà insuficientment respectuosa amb la llibertat d’elles. Aquesta no deixa de ser, en el fons, una versió més de l’argument que la raó pràctica domina sobre tots els altres objectius perquè fa que la recerca de la consecució d’aquests estigui a l’altura del que dicta la dignitat humana.</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b w:val="1"/>
          <w:bCs w:val="1"/>
        </w:rPr>
      </w:pPr>
      <w:r w:rsidDel="00000000" w:rsidR="00000000" w:rsidRPr="00000000">
        <w:rPr>
          <w:b w:val="1"/>
          <w:bCs w:val="1"/>
          <w:rtl w:val="0"/>
        </w:rPr>
        <w:t xml:space="preserve">Capítol 3. Tercera secció. Enfocaments basats en els recursos (secció sencera)</w:t>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jc w:val="both"/>
        <w:rPr>
          <w:b w:val="1"/>
          <w:bCs w:val="1"/>
        </w:rPr>
      </w:pPr>
      <w:r w:rsidDel="00000000" w:rsidR="00000000" w:rsidRPr="00000000">
        <w:rPr>
          <w:b w:val="1"/>
          <w:bCs w:val="1"/>
          <w:rtl w:val="0"/>
        </w:rPr>
        <w:t xml:space="preserve">[1] [Idea principal en la qual es fonamenten els «enfocaments basats en els recursos», els quals equivalen a una versió igualitarista de l’enfocament del PIB]</w:t>
      </w:r>
    </w:p>
    <w:p w:rsidR="00000000" w:rsidDel="00000000" w:rsidP="00000000" w:rsidRDefault="00000000" w:rsidRPr="00000000" w14:paraId="00000033">
      <w:pPr>
        <w:jc w:val="both"/>
        <w:rPr/>
      </w:pPr>
      <w:r w:rsidDel="00000000" w:rsidR="00000000" w:rsidRPr="00000000">
        <w:rPr>
          <w:rtl w:val="0"/>
        </w:rPr>
      </w:r>
    </w:p>
    <w:p w:rsidR="00000000" w:rsidDel="00000000" w:rsidP="00000000" w:rsidRDefault="00000000" w:rsidRPr="00000000" w14:paraId="00000034">
      <w:pPr>
        <w:jc w:val="both"/>
        <w:rPr/>
      </w:pPr>
      <w:r w:rsidDel="00000000" w:rsidR="00000000" w:rsidRPr="00000000">
        <w:rPr>
          <w:rtl w:val="0"/>
        </w:rPr>
        <w:t xml:space="preserve">Una alternativa popular a l’enfocament utilitarista és la constituïda per un grup d’enfocaments que insta a una assignació igualitària (o més adequada des del punt de vista distributiu) dels recursos bàsics, entenent que la riquesa i la renda són recursos multiusos d’aquesta classe. Amartya Sen critica, sovint, tals enfocaments i se centra, concretament, en la teoria dels «béns primaris» exposada per John Rawls en la seva Teoria de la justícia. De tota manera, i ja que, per a Rawls, els béns primaris són, només, un element més d’una teoria general summament complexa, potser és millor no evocar les seves tesis i considerar, en el seu lloc, una proposta més simple, com la que vindria a dir que un país és millor per als seus ciutadans i ciutadanes com més recursos té, sempre que els divideixi igualitàriament (o amb prou igualtat) entre tots els seus habitants. Anomenen aquesta proposta «enfocament basat en els recursos». Aquest enfocament vindria a ser una versió igualitarista de l’enfocament del PIB.</w:t>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b w:val="1"/>
          <w:bCs w:val="1"/>
        </w:rPr>
      </w:pPr>
      <w:r w:rsidDel="00000000" w:rsidR="00000000" w:rsidRPr="00000000">
        <w:rPr>
          <w:b w:val="1"/>
          <w:bCs w:val="1"/>
          <w:rtl w:val="0"/>
        </w:rPr>
        <w:t xml:space="preserve">[2] [Els enfocaments basats en els recursos tenen la virtut de preocupar-se per la distribució de la riquesa, però també se’ls poden fer objeccions: la primera és que la renda i la riquesa no són bons indicadors del que una persona és capaç de fer i ser]</w:t>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jc w:val="both"/>
        <w:rPr/>
      </w:pPr>
      <w:r w:rsidDel="00000000" w:rsidR="00000000" w:rsidRPr="00000000">
        <w:rPr>
          <w:rtl w:val="0"/>
        </w:rPr>
        <w:t xml:space="preserve">Aquest programa tindria la virtut de preocupar-se molt per la distribució. </w:t>
      </w:r>
      <w:r w:rsidDel="00000000" w:rsidR="00000000" w:rsidRPr="00000000">
        <w:rPr>
          <w:rtl w:val="0"/>
        </w:rPr>
        <w:t xml:space="preserve">Ara bé, també toparia amb formidables objeccions. Per començar, la renda i la riquesa no són uns bons indicadors representatius d’allò que les persones són realment capaces de fer i de ser. Cada individu té necessitats diferents de recursos per assolir un nivell similar de funcionament, i també té facultats i aptituds diferents per convertir recursos en funcionaments. Algunes de les diferències rellevants són de caràcter físic: un nen necessita més proteïnes que un adult per a un funcionament físic saludable, i una dona embarassada o una mare alletant necessiten més nutrients que una que no estigui en estat. Cap política pública assenyada no donaria els mateixos recursos, relacionats amb la nutrició, a totes les persones, sinó que, per exemple, en dedicaria més a les necessitats proteíniques dels nens, ja que l’objectiu assenyat d’aquesta classe de polítiques no té en compte, només, el repartiment equitatiu de diners, sinó també el fet de facilitar, a les persones, la capacitat de funcionar. Els diners no són més que un instrument.</w:t>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b w:val="1"/>
          <w:bCs w:val="1"/>
        </w:rPr>
      </w:pPr>
      <w:r w:rsidDel="00000000" w:rsidR="00000000" w:rsidRPr="00000000">
        <w:rPr>
          <w:b w:val="1"/>
          <w:bCs w:val="1"/>
          <w:rtl w:val="0"/>
        </w:rPr>
        <w:t xml:space="preserve">[3] [La segona objecció és que una distribució merament igualitària de la riquesa no soluciona, per si mateixa, les desigualtats socials que tenen el seu origen en la discriminació de certs col·lectius ni les necessitats específiques de certes minories]</w:t>
      </w:r>
    </w:p>
    <w:p w:rsidR="00000000" w:rsidDel="00000000" w:rsidP="00000000" w:rsidRDefault="00000000" w:rsidRPr="00000000" w14:paraId="0000003B">
      <w:pPr>
        <w:jc w:val="both"/>
        <w:rPr/>
      </w:pPr>
      <w:r w:rsidDel="00000000" w:rsidR="00000000" w:rsidRPr="00000000">
        <w:rPr>
          <w:rtl w:val="0"/>
        </w:rPr>
      </w:r>
    </w:p>
    <w:p w:rsidR="00000000" w:rsidDel="00000000" w:rsidP="00000000" w:rsidRDefault="00000000" w:rsidRPr="00000000" w14:paraId="0000003C">
      <w:pPr>
        <w:jc w:val="both"/>
        <w:rPr/>
      </w:pPr>
      <w:r w:rsidDel="00000000" w:rsidR="00000000" w:rsidRPr="00000000">
        <w:rPr>
          <w:rtl w:val="0"/>
        </w:rPr>
        <w:t xml:space="preserve">A més, algunes de les diferències rellevants són creades per desigualtats socials persistents i, en aquest punt, l’enfocament basat en els recursos —com els enfocaments prèviament considerats— demostra ser un aliat de l’statu quo. Per situar les dones i els homes en una posició similar respecte a les oportunitats educatives en una societat que devalua fortament l’educació femenina, haurem de gastar més en aquesta última que en la masculina. Si volem que les persones amb discapacitats físiques siguin capaces de desplaçar-se, en una societat, de la mateixa manera que les persones «normals», necessitarem dedicar-los diners addicionals, adaptant els edificis mitjançant la construcció de rampes, o introduint plataformes elevadores en els autobusos, entre altres mesures. Aquests dos casos són similars: la raó per la quales necessita una despesa extraordinària és que la societat en qüestió ha obrat de manera injusta en el passat, construint un entorn social que ha marginat certes persones. Però aquesta despesa pot estar justificada, fins i tot, encara que no tingui una finalitat compensatòria, si bé, en aquest cas, l’argument justificador és un xic diferent: potser és més car educar un nen nascut amb síndrome de Down que altres nens i nenes, però una societat compromesa a educar tots els seus ciutadans i ciutadanes no hauria de defugir aquest desemborsament. L’important, per a les finalitats que aquí perseguim, és que, ni en un cas ni en l’altre, no se’ns parla prou de l’enfocament basat en els recursos sobre com els està anant, realment, a les persones. Podria, fins i tot, atorgar puntuacions elevades a una nació que ignorés les protestes de grups marginats o subordinats.</w:t>
      </w:r>
    </w:p>
    <w:p w:rsidR="00000000" w:rsidDel="00000000" w:rsidP="00000000" w:rsidRDefault="00000000" w:rsidRPr="00000000" w14:paraId="0000003D">
      <w:pPr>
        <w:jc w:val="both"/>
        <w:rPr/>
      </w:pPr>
      <w:r w:rsidDel="00000000" w:rsidR="00000000" w:rsidRPr="00000000">
        <w:rPr>
          <w:rtl w:val="0"/>
        </w:rPr>
      </w:r>
    </w:p>
    <w:p w:rsidR="00000000" w:rsidDel="00000000" w:rsidP="00000000" w:rsidRDefault="00000000" w:rsidRPr="00000000" w14:paraId="0000003E">
      <w:pPr>
        <w:jc w:val="both"/>
        <w:rPr>
          <w:b w:val="1"/>
          <w:bCs w:val="1"/>
        </w:rPr>
      </w:pPr>
      <w:r w:rsidDel="00000000" w:rsidR="00000000" w:rsidRPr="00000000">
        <w:rPr>
          <w:b w:val="1"/>
          <w:bCs w:val="1"/>
          <w:rtl w:val="0"/>
        </w:rPr>
        <w:t xml:space="preserve">[4] [La renda i la riquesa no són indicadors representatius de la capacitat per funcionar en moltes àrees, ja que no garanteixen el respecte i la inclusió socials de determinats col·lectius ni eviten, per si mateixes, la seva discriminació i estigmatització]</w:t>
      </w:r>
    </w:p>
    <w:p w:rsidR="00000000" w:rsidDel="00000000" w:rsidP="00000000" w:rsidRDefault="00000000" w:rsidRPr="00000000" w14:paraId="0000003F">
      <w:pPr>
        <w:jc w:val="both"/>
        <w:rPr/>
      </w:pPr>
      <w:r w:rsidDel="00000000" w:rsidR="00000000" w:rsidRPr="00000000">
        <w:rPr>
          <w:rtl w:val="0"/>
        </w:rPr>
      </w:r>
    </w:p>
    <w:p w:rsidR="00000000" w:rsidDel="00000000" w:rsidP="00000000" w:rsidRDefault="00000000" w:rsidRPr="00000000" w14:paraId="00000040">
      <w:pPr>
        <w:jc w:val="both"/>
        <w:rPr/>
      </w:pPr>
      <w:r w:rsidDel="00000000" w:rsidR="00000000" w:rsidRPr="00000000">
        <w:rPr>
          <w:rtl w:val="0"/>
        </w:rPr>
        <w:t xml:space="preserve">La renda i la riquesa no són indicadors representatius adequats de la capacitat per funcionar en moltes àrees. Són, segurament, mesures especialment mal aproximades del respecte social, la inclusió i la no-humiliació. Les societats contenen, habitualment, grups que són, raonablement, rics, però que es troben exclosos socialment: era el cas dels jueus en l’Europa dels segles xviii i xix, o el dels gais i les lesbianes en els Estats Units d’Amèrica del segle xx. Encara que igualéssim la riquesa i la renda per complet, per a tots els individus, no ens deslliuraríem de l’estigma ni de la discriminació.</w:t>
      </w:r>
    </w:p>
    <w:p w:rsidR="00000000" w:rsidDel="00000000" w:rsidP="00000000" w:rsidRDefault="00000000" w:rsidRPr="00000000" w14:paraId="00000041">
      <w:pPr>
        <w:jc w:val="both"/>
        <w:rPr/>
      </w:pPr>
      <w:r w:rsidDel="00000000" w:rsidR="00000000" w:rsidRPr="00000000">
        <w:rPr>
          <w:rtl w:val="0"/>
        </w:rPr>
      </w:r>
    </w:p>
    <w:p w:rsidR="00000000" w:rsidDel="00000000" w:rsidP="00000000" w:rsidRDefault="00000000" w:rsidRPr="00000000" w14:paraId="00000042">
      <w:pPr>
        <w:jc w:val="both"/>
        <w:rPr>
          <w:b w:val="1"/>
          <w:bCs w:val="1"/>
        </w:rPr>
      </w:pPr>
      <w:r w:rsidDel="00000000" w:rsidR="00000000" w:rsidRPr="00000000">
        <w:rPr>
          <w:b w:val="1"/>
          <w:bCs w:val="1"/>
          <w:rtl w:val="0"/>
        </w:rPr>
        <w:t xml:space="preserve">[5] [La distribució més o menys igualitària de la renda i la riquesa tampoc no garanteixen altres béns essencials, que també han de ser objecte de les polítiques públiques, com les llibertats o un medi ambient poc contaminat]</w:t>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pPr>
      <w:r w:rsidDel="00000000" w:rsidR="00000000" w:rsidRPr="00000000">
        <w:rPr>
          <w:rtl w:val="0"/>
        </w:rPr>
        <w:t xml:space="preserve">Hi ha, d’altra banda, alguns béns que poden estar totalment, o pràcticament, absents en una societat en la qual la riquesa i la renda siguin raonablement altes i hi estiguin distribuïdes de forma bastant igualitària.</w:t>
      </w:r>
    </w:p>
    <w:p w:rsidR="00000000" w:rsidDel="00000000" w:rsidP="00000000" w:rsidRDefault="00000000" w:rsidRPr="00000000" w14:paraId="00000045">
      <w:pPr>
        <w:jc w:val="both"/>
        <w:rPr/>
      </w:pPr>
      <w:r w:rsidDel="00000000" w:rsidR="00000000" w:rsidRPr="00000000">
        <w:rPr>
          <w:rtl w:val="0"/>
        </w:rPr>
      </w:r>
    </w:p>
    <w:p w:rsidR="00000000" w:rsidDel="00000000" w:rsidP="00000000" w:rsidRDefault="00000000" w:rsidRPr="00000000" w14:paraId="00000046">
      <w:pPr>
        <w:jc w:val="both"/>
        <w:rPr>
          <w:b w:val="1"/>
          <w:bCs w:val="1"/>
        </w:rPr>
      </w:pPr>
      <w:r w:rsidDel="00000000" w:rsidR="00000000" w:rsidRPr="00000000">
        <w:rPr>
          <w:rtl w:val="0"/>
        </w:rPr>
        <w:t xml:space="preserve">Una societat així podria continuar mancant, igualment, de llibertat religiosa, o de llibertat d’expressió i associació. O els seus membres podrien gaudir d’aquestes llibertats, però no de l’accés a un medi ambient, raonablement, poc contaminat. El PIB per capita, fins i tot en el cas que estigui distribuït de forma igualitària, no és un bon indicador de l’existència d’aquests altres importants béns. Si creiem que totes aquestes coses tenen importància, ens interessarà que les polítiques públiques se centrin en cada una d’elles, en comptes de suggerir que totes quedin satisfetes, si ens centrem, exclusivament, en la renda i la riquesa.</w:t>
      </w:r>
      <w:r w:rsidDel="00000000" w:rsidR="00000000" w:rsidRPr="00000000">
        <w:rPr>
          <w:rtl w:val="0"/>
        </w:rPr>
      </w:r>
    </w:p>
    <w:p w:rsidR="00000000" w:rsidDel="00000000" w:rsidP="00000000" w:rsidRDefault="00000000" w:rsidRPr="00000000" w14:paraId="00000047">
      <w:pPr>
        <w:jc w:val="both"/>
        <w:rPr>
          <w:b w:val="1"/>
          <w:bCs w:val="1"/>
        </w:rPr>
      </w:pPr>
      <w:r w:rsidDel="00000000" w:rsidR="00000000" w:rsidRPr="00000000">
        <w:rPr>
          <w:rtl w:val="0"/>
        </w:rPr>
      </w:r>
    </w:p>
    <w:p w:rsidR="00000000" w:rsidDel="00000000" w:rsidP="00000000" w:rsidRDefault="00000000" w:rsidRPr="00000000" w14:paraId="00000048">
      <w:pPr>
        <w:jc w:val="both"/>
        <w:rPr>
          <w:b w:val="1"/>
          <w:bCs w:val="1"/>
        </w:rPr>
      </w:pPr>
      <w:r w:rsidDel="00000000" w:rsidR="00000000" w:rsidRPr="00000000">
        <w:rPr>
          <w:rtl w:val="0"/>
        </w:rPr>
      </w:r>
    </w:p>
    <w:p w:rsidR="00000000" w:rsidDel="00000000" w:rsidP="00000000" w:rsidRDefault="00000000" w:rsidRPr="00000000" w14:paraId="00000049">
      <w:pPr>
        <w:jc w:val="both"/>
        <w:rPr>
          <w:b w:val="1"/>
          <w:bCs w:val="1"/>
        </w:rPr>
      </w:pPr>
      <w:r w:rsidDel="00000000" w:rsidR="00000000" w:rsidRPr="00000000">
        <w:rPr>
          <w:b w:val="1"/>
          <w:bCs w:val="1"/>
          <w:rtl w:val="0"/>
        </w:rPr>
        <w:t xml:space="preserve">Capítol 3. Quarta secció. Les capacitats i la qüestió del mesurament (secció sencera)</w:t>
      </w:r>
    </w:p>
    <w:p w:rsidR="00000000" w:rsidDel="00000000" w:rsidP="00000000" w:rsidRDefault="00000000" w:rsidRPr="00000000" w14:paraId="0000004A">
      <w:pPr>
        <w:jc w:val="both"/>
        <w:rPr>
          <w:b w:val="1"/>
          <w:bCs w:val="1"/>
        </w:rPr>
      </w:pPr>
      <w:r w:rsidDel="00000000" w:rsidR="00000000" w:rsidRPr="00000000">
        <w:rPr>
          <w:rtl w:val="0"/>
        </w:rPr>
      </w:r>
    </w:p>
    <w:p w:rsidR="00000000" w:rsidDel="00000000" w:rsidP="00000000" w:rsidRDefault="00000000" w:rsidRPr="00000000" w14:paraId="0000004B">
      <w:pPr>
        <w:jc w:val="both"/>
        <w:rPr>
          <w:b w:val="1"/>
          <w:bCs w:val="1"/>
        </w:rPr>
      </w:pPr>
      <w:r w:rsidDel="00000000" w:rsidR="00000000" w:rsidRPr="00000000">
        <w:rPr>
          <w:b w:val="1"/>
          <w:bCs w:val="1"/>
          <w:rtl w:val="0"/>
        </w:rPr>
        <w:t xml:space="preserve">[1] [Els problemes plantejats pels enfocaments criticats per Nussbaum justifiquen les preguntes clau de l’enfocament de les «capacitats» i serveixen per definir els seus trets característics]</w:t>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t xml:space="preserve">De totes aquestes objeccions, va néixer la idea que les preguntes que, en realitat, ens hem de fer són les següents: Les persones, què són, realment, capaces de fer i de ser? I quines són les oportunitats reals que la societat els ha donat per actuar i per elegir? L’enfocament en qualsevol de les seves formes —tant la de la teoria comparativa de la qualitat de vida feta servir per Sen i pels economistes del desenvolupament influïts per ell, com la de la teoria de la justícia mínimament exigible que jo he desenvolupat— recalca l’heterogeneïtat i la incommensurabilitat de totes les oportunitats o capacitats importants, la importància de la distribució, i l’escassa fiabilitat de les preferències com indicadors dels objectius que, realment, val la pena de perseguir.</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jc w:val="both"/>
        <w:rPr>
          <w:b w:val="1"/>
          <w:bCs w:val="1"/>
        </w:rPr>
      </w:pPr>
      <w:r w:rsidDel="00000000" w:rsidR="00000000" w:rsidRPr="00000000">
        <w:rPr>
          <w:b w:val="1"/>
          <w:bCs w:val="1"/>
          <w:rtl w:val="0"/>
        </w:rPr>
        <w:t xml:space="preserve">[2] [Origen i abast de la funcionalitat de l’índex de desenvolupament humà (IDH) del Programa de les Nacions Unides per al Desenvolupament]</w:t>
      </w:r>
    </w:p>
    <w:p w:rsidR="00000000" w:rsidDel="00000000" w:rsidP="00000000" w:rsidRDefault="00000000" w:rsidRPr="00000000" w14:paraId="00000050">
      <w:pPr>
        <w:jc w:val="both"/>
        <w:rPr/>
      </w:pPr>
      <w:r w:rsidDel="00000000" w:rsidR="00000000" w:rsidRPr="00000000">
        <w:rPr>
          <w:rtl w:val="0"/>
        </w:rPr>
      </w:r>
    </w:p>
    <w:p w:rsidR="00000000" w:rsidDel="00000000" w:rsidP="00000000" w:rsidRDefault="00000000" w:rsidRPr="00000000" w14:paraId="00000051">
      <w:pPr>
        <w:jc w:val="both"/>
        <w:rPr/>
      </w:pPr>
      <w:r w:rsidDel="00000000" w:rsidR="00000000" w:rsidRPr="00000000">
        <w:rPr>
          <w:rtl w:val="0"/>
        </w:rPr>
        <w:t xml:space="preserve">Els que hagin llegit els «informes de desenvolupament humà» del Programa de les Nacions Unides per al Desenvolupament s’hauran adonat que encara es classifiquen les nacions conforme a una mesura única: l’índex de desenvolupament humà (IDH). L’IDH és el resultat d’una agregació ponderada de dades sobre l’esperança de vida, l’acompliment educatiu i el PIB per capita. (Les ponderacions s’expliquen en un apèndix tècnic que s’inclou en cada un dels informes.) Podríem al·legar, doncs, que l’IDH comet el mateix excés de simplificació que el que estan acusats els altres enfocaments. Però aquesta objecció malinterpretaria el paper de l’IDH. L’IDH és estratègic. Es va inserir al primer informe en la darreria del procés de formulació (i contra les objeccions d’alguns puristes) perquè Mahbub ul Haq, pragmàtic consumat, creia que els països acostumats a les classificacions úniques no acceptarien cap altra cosa i, per tant, els informes no tindrien repercussió, llevat que produïssin una classificació d’aquest tipus. El que de veritat importava, doncs, era confeccionar un indicador únic diferent, que donés un pes important en les ponderacions a factors (com la longevitat o l’educació) sobre els quals, normalment, no es posava cap èmfasi en les classificacions de nacions pel seu nivell de desenvolupament. Una vegada aquest indicador, únic i diferent, ressaltador de la importància de la salut i l’educació, hagués captat l’atenció general, era de suposar que la gent provaria de burxar per sota de la primera taula de resultats i llegiria les dades desagregades exposades en la resta de l’informe. En aquestes xifres desagregades és on hi ha la substància real, però un indicador únic (més indicatiu que definitiu) pot dirigir la nostra atenció cap a certs aspectes destacats de les dades.</w:t>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jc w:val="both"/>
        <w:rPr>
          <w:b w:val="1"/>
          <w:bCs w:val="1"/>
        </w:rPr>
      </w:pPr>
      <w:r w:rsidDel="00000000" w:rsidR="00000000" w:rsidRPr="00000000">
        <w:rPr>
          <w:b w:val="1"/>
          <w:bCs w:val="1"/>
          <w:rtl w:val="0"/>
        </w:rPr>
        <w:t xml:space="preserve">[3] [En contra del que podria semblar, l’IDH no simplifica la realitat ni la redueix a un únic nombre, com han fet els enfocaments que fins ara s’han criticat]</w:t>
      </w:r>
    </w:p>
    <w:p w:rsidR="00000000" w:rsidDel="00000000" w:rsidP="00000000" w:rsidRDefault="00000000" w:rsidRPr="00000000" w14:paraId="00000054">
      <w:pPr>
        <w:jc w:val="both"/>
        <w:rPr/>
      </w:pPr>
      <w:r w:rsidDel="00000000" w:rsidR="00000000" w:rsidRPr="00000000">
        <w:rPr>
          <w:rtl w:val="0"/>
        </w:rPr>
      </w:r>
    </w:p>
    <w:p w:rsidR="00000000" w:rsidDel="00000000" w:rsidP="00000000" w:rsidRDefault="00000000" w:rsidRPr="00000000" w14:paraId="00000055">
      <w:pPr>
        <w:jc w:val="both"/>
        <w:rPr/>
      </w:pPr>
      <w:r w:rsidDel="00000000" w:rsidR="00000000" w:rsidRPr="00000000">
        <w:rPr>
          <w:rtl w:val="0"/>
        </w:rPr>
        <w:t xml:space="preserve">Al llarg dels anys, els informes han anat mantenint tant l’IDH com les dades desagregades, però han afegit, també, altres agregacions suggeridores. L’IDG (l’índex de desenvolupament humà relatiu al gènere) corregeix l’IDH incloent els desequilibris entre gèneres, i alguns països que s’enorgullien de la seva posició elevada en la taula de l’IDH (com, per exemple, el Japó) es van sorprendre de veure’s molt per sota en la llista de l’IDG. La MAG (la mesura d’apoderament de gènere) mesura no els avenços de les dones en terrenys com la longevitat o l’educació, sinó el seu accés a càrrecs directius i polítics. També aquest indicador ha resultat ser molt esclaridor, ja que, en diversos casos, s’observa una notòria discrepància entre l’IDG i la MAG: la MAG, fins i tot, essent un indicador agregat, indueix el lector a valorar la importància que el poder directiu i polític té per separat com a element de la igualtat de les dones. Així mateix, s’han anat afegint altres suggeridores mesures agregades. A més, cada informe gira entorn d’un tema destacat (la tecnologia, els drets humans o altres qüestions) i recull altres articles i estudis atapeïts de dades. Ningú que utilitzi aquests informes, doncs, no pot tenir la impressió que l’únic que importa és un indicador d’un sol nombre. Aquests nombres únics van dirigint la nostra atenció cap a les diverses capacitats centrals pertinents.</w:t>
      </w:r>
    </w:p>
    <w:p w:rsidR="00000000" w:rsidDel="00000000" w:rsidP="00000000" w:rsidRDefault="00000000" w:rsidRPr="00000000" w14:paraId="00000056">
      <w:pPr>
        <w:jc w:val="both"/>
        <w:rPr/>
      </w:pPr>
      <w:r w:rsidDel="00000000" w:rsidR="00000000" w:rsidRPr="00000000">
        <w:rPr>
          <w:rtl w:val="0"/>
        </w:rPr>
      </w:r>
    </w:p>
    <w:p w:rsidR="00000000" w:rsidDel="00000000" w:rsidP="00000000" w:rsidRDefault="00000000" w:rsidRPr="00000000" w14:paraId="00000057">
      <w:pPr>
        <w:jc w:val="both"/>
        <w:rPr>
          <w:b w:val="1"/>
          <w:bCs w:val="1"/>
        </w:rPr>
      </w:pPr>
      <w:r w:rsidDel="00000000" w:rsidR="00000000" w:rsidRPr="00000000">
        <w:rPr>
          <w:b w:val="1"/>
          <w:bCs w:val="1"/>
          <w:rtl w:val="0"/>
        </w:rPr>
        <w:t xml:space="preserve">[4] [S’analitza si les «capacitats» es poden mesurar i com]</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És natural preguntar-se si les capacitats poden mesurar-se i de quina manera. Tendim a sucumbir al que podríem anomenar «la fal·làcia del mesurament», o el que és el mateix, al convenciment que, quan una determinada cosa (posem per cas el PIB) és fàcil de mesurar, aquesta ha de ser la més pertinent o la més central. No cal dir que això no té per què ser així. Però qui proposi un nou criteri de valor de l’acció pública necessitarà mostrar, de tota manera, que, en principi almenys, podem trobar maneres de mesurar aquest valor. Les capacitats són plurals, però això no significa que no les puguem mesurar cada una per separat. La dificultat rau en el fet que la noció de capacitat combina, de manera complexa, la preparació interna amb l’oportunitat externa, per la qual cosa és molt probable que el seu mesurament no resulti senzill. Aquesta qüestió ocupa, com és lògic, moltes de les persones que treballen en aquest enfocament i, de resultes d’això, s’està desenvolupant una àmplia bibliografia especialitzada en el mesurament de capacitats. És possible que, de vegades, hàgim d’inferir la capacitat a partir de les pautes de funcionament. Suposem, per exemple, que observem que la participació electoral és menor entre la població afroamericana. No podrem inferir una absència de capacitat a partir d’aquesta absència de funcionament, ja que les persones podrien haver optat, simplement, per no votar. Però, quan un patró de participació baixa està correlacionat, a més, amb una situació de subordinació i estigma socials, podem sospitar, amb més fonament, que hi ha presents certs impediments subtils que interfereixen en la capacitat política. Podríem estar parlant d’obstacles en el registre del cens de votants, dificultats en l’accés als col·legis electorals o denigració d’aquests electors en les esmentades escoles; també podria tractar-se de desigualtats educatives, sensació persistent d’impotència i altres deficiències de capacitat menys tangibles. Però la complexitat de la qüestió no significa que no sigui real i susceptible d’estudi: per això la resposta correcta a tal complexitat és la d’esforçar-se més per detectar i mesurar els factors pertinents. De la mateixa manera, si volguéssim saber si les persones tenen accés al joc i a l’esbargiment, començaríem per observar el més evident: les hores que dediquen al treball i les reservades al lleure. Però això ens portaria, de seguida, a analitzar temes més complexos, com ara la ubicació, l’estat de manteniment i la seguretat dels parcs i d’altres instal·lacions d’esbarjo.</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b w:val="1"/>
          <w:bCs w:val="1"/>
        </w:rPr>
      </w:pPr>
      <w:r w:rsidDel="00000000" w:rsidR="00000000" w:rsidRPr="00000000">
        <w:rPr>
          <w:b w:val="1"/>
          <w:bCs w:val="1"/>
          <w:rtl w:val="0"/>
        </w:rPr>
        <w:t xml:space="preserve">[5] [Per poder mesurar algunes capacitats, més que una escala numèrica, és més adient fer servir una valoració qualitativa]</w:t>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t xml:space="preserve">És habitual pensar que el mesurament suposa l’aplicació d’algun tipus d’escala numèrica. En la vida real, tanmateix, cal estar familiaritzats amb altres formes de mesurament de caràcter més qualitatiu. Quan el Tribunal Suprem dels Estats Units d’Amèrica es pregunta si una determinada llei vulnera la garantia de la llibertat d’expressió continguda en la Primera Esmena de la Constitució, els magistrats no utilitzen una escala numèrica conforme a la qual ordenen diferents règims d’expressió, sinó que consulten el text constitucional, els precedents del mateix tribunal, i altres materials històrics i socials pertinents. De tota manera, sembla correcte afirmar que el tribunal acaba decidint si una determinada política situa alguns ciutadans i ciutadanes per sota d’un llindar acceptable al qual es refereix la llibertat d’expressió. El que aquí suggereixo és que algunes capacitats han de ser mesurades d’aquesta manera i no conforme a cap escala quantitativa. Si haguéssim cregut que una escala numèrica hauria resultat útil en casos relatius a la llibertat d’expressió, o a la religió, probablement ja n’hauríem utilitzat alguna. Tanmateix, la forma discursiva d’anàlisi que s’ha desenvolupat en el lloc corresponent sembla apropiada, si més no, per a certes qüestions relacionades amb el nivell llindar d’un dret fonamental.</w:t>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r>
    </w:p>
    <w:p w:rsidR="00000000" w:rsidDel="00000000" w:rsidP="00000000" w:rsidRDefault="00000000" w:rsidRPr="00000000" w14:paraId="00000060">
      <w:pPr>
        <w:jc w:val="both"/>
        <w:rPr>
          <w:b w:val="1"/>
          <w:bCs w:val="1"/>
        </w:rPr>
      </w:pPr>
      <w:r w:rsidDel="00000000" w:rsidR="00000000" w:rsidRPr="00000000">
        <w:rPr>
          <w:b w:val="1"/>
          <w:bCs w:val="1"/>
          <w:rtl w:val="0"/>
        </w:rPr>
        <w:t xml:space="preserve">Capítol 3. Cinquena secció. Enfocaments basats en els drets humans (1r, 2n i 6è paràgrafs)</w:t>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b w:val="1"/>
          <w:bCs w:val="1"/>
        </w:rPr>
      </w:pPr>
      <w:r w:rsidDel="00000000" w:rsidR="00000000" w:rsidRPr="00000000">
        <w:rPr>
          <w:b w:val="1"/>
          <w:bCs w:val="1"/>
          <w:rtl w:val="0"/>
        </w:rPr>
        <w:t xml:space="preserve">[1] [Punts en comú de l’enfocament de les «capacitats» i el moviment internacional en defensa dels drets humans i aspectes en els quals aquest moviment mostra deficiències]</w:t>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t xml:space="preserve">L’enfocament de les capacitats està estretament unit al moviment internacional de defensa dels drets humans. En el fons, la meva pròpia versió està caracteritzada com una espècie d’enfocament basat en els drets humans. Sen també posa en relleu l’estret vincle existent entre les capacitats i els drets humans. L’enfocament de les capacitats i el dels drets humans coincideixen entorn de la idea segons la qual totes les persones tenen dret a certs béns centrals en virtut de la seva humanitat mateixa, i que un dels deures fonamentals de la societat és el de respectar tals drets i donar-hi suport. (El meu enfocament afirma que els animals no humans també tenen drets; en aquest sentit, almenys, és més ampli que l’enfocament dels drets humans.) Hi ha també una relació estreta quant al contingut. Les capacitats de la meva llista coincideixen, substancialment, amb els drets humans reconeguts en la Declaració Universal i en altres instruments semblants. Cobreixen, efectivament, el mateix terreny que els anomenats drets de primera generació (els drets polítics i els civils) i de segona generació (els econòmics i els socials). I exerceixen un paper similar, ja que proporcionen una base tant per a les comparacions transculturals com per a les garanties constitucionals. I si el paradigma dels drets humans ha estat criticat per no fer prou atenció a qüestions relacionades amb el gènere, la raça i altres qüestions per l’estil, l’enfocament de les capacitats (els millors enfocaments basats en els drets humans, per cert) prova de remeiar tals defectes.</w:t>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b w:val="1"/>
          <w:bCs w:val="1"/>
        </w:rPr>
      </w:pPr>
      <w:r w:rsidDel="00000000" w:rsidR="00000000" w:rsidRPr="00000000">
        <w:rPr>
          <w:b w:val="1"/>
          <w:bCs w:val="1"/>
          <w:rtl w:val="0"/>
        </w:rPr>
        <w:t xml:space="preserve">[2] [En quins aspectes concrets l’enfocament de les «capacitats» busca millorar els enfocaments convencionals de defensa dels drets humans]</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En certs i importants sentits, l’enfocament de les capacitats complementa els enfocaments convencionals dels drets humans, entre altres coses, pel seu caràcter explícit i per la seva claredat filosòfiques a propòsit de les nocions bàsiques rellevants i per l’atractiu de les seves formulacions específiques. Per exemple, per tal que algú tingui drets, l’enfocament només exigeix que hagi nascut humà o humana i que compti amb un mínim nivell d’agència; no estipula requisits com la racionalitat ni altres propietats específiques. D’aquesta manera, permet que es reconegui la igualtat dels drets humans de les persones amb discapacitats cognitives. A més, articula i expressa, amb més claredat que la majoria dels enfocaments convencionals sobre els drets humans, la relació entre aquests últims i la dignitat humana (ja que les capacitats centrals es defineixen, en part, en termes de dignitat). Articula, amb similar claredat, la relació entre els drets humans i els d’altres espècies (tots els éssers sensibles tenen drets basats en la justícia, i els «conflictes tràgics» han de resoldre’s com es resoldrien dins d’una mateixa espècie; és a dir, aspirant a aconseguir un món en el qual no hi hagi aquests conflictes). Finalment, explicita la relació entre els drets i els deures humans. L’enfocament dels drets humans no és una teoria plenament integrada; l’enfocament de les capacitats, tanmateix, prova de ser, precisament, una d’aquestes.</w:t>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b w:val="1"/>
          <w:bCs w:val="1"/>
        </w:rPr>
      </w:pPr>
      <w:r w:rsidDel="00000000" w:rsidR="00000000" w:rsidRPr="00000000">
        <w:rPr>
          <w:b w:val="1"/>
          <w:bCs w:val="1"/>
          <w:rtl w:val="0"/>
        </w:rPr>
        <w:t xml:space="preserve">[3] [Crítica al paper que s’atorga a l’Estat en matèria de drets dins la tradició política i judicial dels Estats Units]</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L’enfocament de les capacitats complementa, en aquests sentits esmentats, el model convencional dels drets humans. Però també aporta crítiques de, com a mínim, algunes versions familiars d’aquest model. Una idea prominent en matèria de drets, molt comuna en la tradició política i judicial dels Estats Units d’Amèrica, és la que els entén com barreres davant la interferència de l’acció estatal: n’hi ha prou que l’Estat no s’immisceixi en els assumptes dels seus ciutadans i ciutadanes per tal que es considerin garantits els drets d’aquests i aquestes. L’enfocament de les capacitats, per la seva part, insisteix en el fet que tots els drets comporten una acció positiva per part del govern: aquest ha de donar suport, activament, a les capacitats de les persones i no tan sols abstenir-se de posar-los obstacles. En absència de cap acció, els drets no són més que paraules en un paper. La Vasanti no rebia pallisses del govern de Gujarat, sinó del seu marit, però un govern que no promulgui i vigili, activament, el compliment d’una legislació contra la violència domèstica, o que no faciliti, a les dones, l’educació i les habilitats que aquestes necessiten per obtenir un salari que els permeti de guanyar-se la vida en cas que abandonin un matrimoni en el qual són objecte d’abusos, és responsable de la indignitat que pateixen aquestes dones. Els drets fonamentals no són més que paraules, fins que l’acció de l’Estat els converteix en reals. La sola idea de «llibertat negativa», que tan sovint s’esmenta a propòsit d’aquestes qüestions, és, senzillament, incoherent: totes les llibertats són positives, ja que expressen la llibertat de fer, o de ser, alguna cosa, i totes exigeixen la inhibició de la interferència d’altres. Aquest és un argument en el qual hem de posar èmfasi, molt especialment pel que fa als Estats Units d’Amèrica, on hi ha força gent que creu que el govern, com més inactiu es manté, més bé fa la seva feina.</w:t>
      </w:r>
    </w:p>
    <w:p w:rsidR="00000000" w:rsidDel="00000000" w:rsidP="00000000" w:rsidRDefault="00000000" w:rsidRPr="00000000" w14:paraId="0000006D">
      <w:pPr>
        <w:jc w:val="both"/>
        <w:rPr>
          <w:sz w:val="24"/>
          <w:szCs w:val="24"/>
        </w:rPr>
      </w:pPr>
      <w:r w:rsidDel="00000000" w:rsidR="00000000" w:rsidRPr="00000000">
        <w:rPr>
          <w:rtl w:val="0"/>
        </w:rPr>
      </w:r>
    </w:p>
    <w:p w:rsidR="00000000" w:rsidDel="00000000" w:rsidP="00000000" w:rsidRDefault="00000000" w:rsidRPr="00000000" w14:paraId="0000006E">
      <w:pPr>
        <w:jc w:val="both"/>
        <w:rPr>
          <w:sz w:val="24"/>
          <w:szCs w:val="24"/>
        </w:rPr>
      </w:pPr>
      <w:r w:rsidDel="00000000" w:rsidR="00000000" w:rsidRPr="00000000">
        <w:rPr>
          <w:rtl w:val="0"/>
        </w:rPr>
      </w:r>
    </w:p>
    <w:p w:rsidR="00000000" w:rsidDel="00000000" w:rsidP="00000000" w:rsidRDefault="00000000" w:rsidRPr="00000000" w14:paraId="0000006F">
      <w:pPr>
        <w:jc w:val="right"/>
        <w:rPr/>
      </w:pPr>
      <w:r w:rsidDel="00000000" w:rsidR="00000000" w:rsidRPr="00000000">
        <w:rPr>
          <w:rtl w:val="0"/>
        </w:rPr>
        <w:t xml:space="preserve">—</w:t>
      </w:r>
      <w:r w:rsidDel="00000000" w:rsidR="00000000" w:rsidRPr="00000000">
        <w:rPr>
          <w:i w:val="1"/>
          <w:iCs w:val="1"/>
          <w:rtl w:val="0"/>
        </w:rPr>
        <w:t xml:space="preserve">Crear capacitats </w:t>
      </w:r>
      <w:r w:rsidDel="00000000" w:rsidR="00000000" w:rsidRPr="00000000">
        <w:rPr>
          <w:rtl w:val="0"/>
        </w:rPr>
        <w:t xml:space="preserve">de Martha C. Nussbaum,</w:t>
        <w:br w:type="textWrapping"/>
        <w:t xml:space="preserve">dins de José Vidal González Barredo, </w:t>
      </w:r>
      <w:r w:rsidDel="00000000" w:rsidR="00000000" w:rsidRPr="00000000">
        <w:rPr>
          <w:i w:val="1"/>
          <w:iCs w:val="1"/>
          <w:rtl w:val="0"/>
        </w:rPr>
        <w:t xml:space="preserve">Noesi.</w:t>
        <w:br w:type="textWrapping"/>
        <w:t xml:space="preserve">Textos de filosofia per a les PAU 2025</w:t>
      </w:r>
      <w:r w:rsidDel="00000000" w:rsidR="00000000" w:rsidRPr="00000000">
        <w:rPr>
          <w:rtl w:val="0"/>
        </w:rPr>
        <w:t xml:space="preserve">, 439-458.</w:t>
      </w:r>
    </w:p>
    <w:sectPr>
      <w:footerReference r:id="rId7"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