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_rels/fontTable.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fonts/font9.odttf" ContentType="application/vnd.openxmlformats-officedocument.obfuscatedFont"/>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13.odttf" ContentType="application/vnd.openxmlformats-officedocument.obfuscatedFont"/>
  <Override PartName="/word/fonts/font14.odttf" ContentType="application/vnd.openxmlformats-officedocument.obfuscatedFont"/>
  <Override PartName="/word/fonts/font15.odttf" ContentType="application/vnd.openxmlformats-officedocument.obfuscatedFont"/>
  <Override PartName="/word/fonts/font16.odttf" ContentType="application/vnd.openxmlformats-officedocument.obfuscatedFont"/>
  <Override PartName="/word/fonts/font17.odttf" ContentType="application/vnd.openxmlformats-officedocument.obfuscatedFont"/>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ackground w:color="FFFFFF"/>
  <w:body>
    <w:p>
      <w:pPr>
        <w:pStyle w:val="Normal"/>
        <w:rPr>
          <w:sz w:val="2"/>
          <w:szCs w:val="2"/>
        </w:rPr>
      </w:pPr>
      <w:r>
        <w:rPr>
          <w:sz w:val="2"/>
          <w:szCs w:val="2"/>
        </w:rPr>
      </w:r>
    </w:p>
    <w:p>
      <w:pPr>
        <w:pStyle w:val="Normal"/>
        <w:tabs>
          <w:tab w:val="clear" w:pos="720"/>
          <w:tab w:val="right" w:pos="708" w:leader="none"/>
        </w:tabs>
        <w:rPr/>
      </w:pPr>
      <w:r>
        <w:rPr/>
        <mc:AlternateContent>
          <mc:Choice Requires="wps">
            <w:drawing>
              <wp:inline distT="0" distB="0" distL="0" distR="0">
                <wp:extent cx="1270" cy="19685"/>
                <wp:effectExtent l="0" t="0" r="0" b="0"/>
                <wp:docPr id="1" name=""/>
                <a:graphic xmlns:a="http://schemas.openxmlformats.org/drawingml/2006/main">
                  <a:graphicData uri="http://schemas.microsoft.com/office/word/2010/wordprocessingShape">
                    <wps:wsp>
                      <wps:cNvSpPr/>
                      <wps:nvSpPr>
                        <wps:cNvPr id="0" name="Rectangle 1"/>
                        <wps:cNvSpPr/>
                      </wps:nvSpPr>
                      <wps:spPr>
                        <a:xfrm>
                          <a:off x="0" y="0"/>
                          <a:ext cx="720" cy="19080"/>
                        </a:xfrm>
                        <a:prstGeom prst="rect">
                          <a:avLst/>
                        </a:prstGeom>
                        <a:solidFill>
                          <a:srgbClr val="a0a0a0"/>
                        </a:solidFill>
                        <a:ln>
                          <a:noFill/>
                        </a:ln>
                      </wps:spPr>
                      <wps:bodyPr/>
                    </wps:wsp>
                  </a:graphicData>
                </a:graphic>
                <wp14:sizeRelH relativeFrom="page">
                  <wp14:pctWidth>100000</wp14:pctWidth>
                </wp14:sizeRelH>
              </wp:inline>
            </w:drawing>
          </mc:Choice>
          <mc:Fallback>
            <w:pict>
              <v:rect id="shape_0" fillcolor="#a0a0a0" stroked="f" style="position:absolute;margin-left:0pt;margin-top:-1.55pt;width:0pt;height:1.45pt;mso-position-horizontal:center;mso-position-vertical:top">
                <w10:wrap type="none"/>
                <v:fill o:detectmouseclick="t" type="solid" color2="#5f5f5f"/>
                <v:stroke color="#3465a4" joinstyle="round" endcap="flat"/>
              </v:rect>
            </w:pict>
          </mc:Fallback>
        </mc:AlternateContent>
      </w:r>
    </w:p>
    <w:p>
      <w:pPr>
        <w:pStyle w:val="Normal"/>
        <w:jc w:val="both"/>
        <w:rPr/>
      </w:pPr>
      <w:r>
        <w:rPr/>
      </w:r>
    </w:p>
    <w:p>
      <w:pPr>
        <w:pStyle w:val="Normal"/>
        <w:rPr>
          <w:sz w:val="36"/>
          <w:szCs w:val="36"/>
        </w:rPr>
      </w:pPr>
      <w:r>
        <w:rPr>
          <w:b/>
          <w:bCs/>
          <w:i/>
          <w:iCs/>
          <w:sz w:val="36"/>
          <w:szCs w:val="36"/>
        </w:rPr>
        <w:t xml:space="preserve">La genealogia de la moral </w:t>
      </w:r>
      <w:r>
        <w:rPr>
          <w:sz w:val="36"/>
          <w:szCs w:val="36"/>
        </w:rPr>
        <w:t>(1887)</w:t>
      </w:r>
    </w:p>
    <w:p>
      <w:pPr>
        <w:pStyle w:val="Normal"/>
        <w:rPr/>
      </w:pPr>
      <w:r>
        <w:rPr>
          <w:sz w:val="32"/>
          <w:szCs w:val="32"/>
        </w:rPr>
        <w:t>de Friedrich Nietzsche</w:t>
      </w:r>
    </w:p>
    <w:p>
      <w:pPr>
        <w:pStyle w:val="Normal"/>
        <w:rPr/>
      </w:pPr>
      <w:r>
        <w:rPr/>
      </w:r>
    </w:p>
    <w:p>
      <w:pPr>
        <w:pStyle w:val="Normal"/>
        <w:rPr/>
      </w:pPr>
      <w:r>
        <w:rPr/>
      </w:r>
    </w:p>
    <w:p>
      <w:pPr>
        <w:pStyle w:val="Normal"/>
        <w:jc w:val="both"/>
        <w:rPr/>
      </w:pPr>
      <w:r>
        <w:rPr>
          <w:b/>
          <w:bCs/>
        </w:rPr>
        <w:t>I, 10.</w:t>
      </w:r>
      <w:r>
        <w:rPr/>
        <w:t xml:space="preserve"> La revolta dels esclaus en la moral comença quan el mateix </w:t>
      </w:r>
      <w:r>
        <w:rPr>
          <w:i/>
          <w:iCs/>
        </w:rPr>
        <w:t>ressentiment</w:t>
      </w:r>
      <w:r>
        <w:rPr/>
        <w:t xml:space="preserve"> esdevé creador i genera valors, el ressentiment d’aquells éssers privats de la veritable reacció, la de l’activitat, que només es consideren indemnitzats mitjançant una venjança imaginària. Mentre que qualsevol moral noble sorgeix d’una afirmació triomfant de la seva pròpia essència, la moral dels esclaus nega de bon començament «qualsevol exterioritat», qualsevol «alteritat», qualsevol «negació de la pròpia essència», i aquest fet de negar és el seu acte creador. Aquest capgirament de la visió que estableix valors –aquesta direcció necessària devers l’exterior, en lloc de dirigir-se devers la pròpia essència- pertany d’una manera concreta al ressentiment. Per tal de néixer, la moral dels esclaus requereix sempre en primer lloc un món contrari i extern. Psicològicament parlant, requereix estímuls externs per tal d’actuar en general. Radicalment, la seva acció és una reacció. El cas contrari s’esdevé en la forma noble de valoració: actua i creix espontàniament, cerca la seva contraposició únicament per afirmar-se ella mateix d’una manera encara més agraïda, encara més joiosa. La seva concepció negativa referent a allò que és «baix», «vulgar», «dolent», constitueix només una pàl·lida i tardana imatge de contrast en relació amb la seva positiva concepció fonamental, amarada per complet de vida i de passió: «Nosaltres, els nobles, els bons, els bells, els feliços!». Quan la forma noble de valoració atempta i peca contra la realitat, això s’esdevé en relació amb l’esfera que no coneix prou, que rebutja certament de conèixer veritablement: en certes circumstàncies no comprèn que menysprea, la de l’home vulgar, del poble baix. D’altra banda, cal considerar que en tot cas el sentiment de menyspreu, de la mirada desdenyosa, de la mirada de superioritat, fins i tot suposant que falsegi la imatge d’allò que menysprea, restarà molt lluny d’aquella falsificació amb la qual l’odi reprimit, la venjança de l’impotent, maltracta el seu adversari –in effigie, naturalment. De fet, en el menyspreu es barreja massa negligència, massa despreocupació, massa desatenció i impaciència, àdhuc massa autosatisfacció, perquè sigui capaç de transformar el seu objecte en una veritable caricatura i en un monstre. No poden vorejar-se, certament, les nuances gairebé benevolents que l’aristocràcia grega, per exemple, posa en tots aquells mots amb els quals es distingeix ella mateixa del poble baix. És curiós de veure com s’endolceixen constantment els termes i com s’hi barreja una mena de compassió, de consideració, de tolerància, fins a l’extrem que quasi tots els mots que es refereixen a l’home vulgar han esdevingut a l’últim expressions equivalents d’«infeliç», «digne de compassió» (vegeu </w:t>
      </w:r>
      <w:r>
        <w:rPr>
          <w:i/>
          <w:iCs/>
        </w:rPr>
        <w:t>deilós, deílaios, ponerós, mojzerás</w:t>
      </w:r>
      <w:r>
        <w:rPr/>
        <w:t xml:space="preserve">) [Els dos primers: vergonyós, dolent, covard; els dos últims: infeliç, dissortat, dolent]; d’aquests mots, els dos darrers qualifiquen pròpiament l’home vulgar com a esclau que treballa i animal de càrrega). És curiós d’observar, d’altra banda, com els termes «dolent», «baix», «infeliç» mai no deixaren de sonar a l’oïda grega amb un to, amb una tonalitat, en què prepondera el sentit d’«infeliç». Això és una peça heretada de l’antiga forma de valoració aristocràtica, més noble, que ni tan sols en el menyspreu no es nega ella mateixa (els filòlegs han de recordar en quin sentit s’empren </w:t>
      </w:r>
      <w:r>
        <w:rPr>
          <w:i/>
          <w:iCs/>
        </w:rPr>
        <w:t>oitsirós</w:t>
      </w:r>
      <w:r>
        <w:rPr/>
        <w:t xml:space="preserve">, </w:t>
      </w:r>
      <w:r>
        <w:rPr>
          <w:i/>
          <w:iCs/>
        </w:rPr>
        <w:t>ánolbos</w:t>
      </w:r>
      <w:r>
        <w:rPr/>
        <w:t xml:space="preserve">, </w:t>
      </w:r>
      <w:r>
        <w:rPr>
          <w:i/>
          <w:iCs/>
        </w:rPr>
        <w:t>tiemon</w:t>
      </w:r>
      <w:r>
        <w:rPr/>
        <w:t xml:space="preserve">, </w:t>
      </w:r>
      <w:r>
        <w:rPr>
          <w:i/>
          <w:iCs/>
        </w:rPr>
        <w:t>distijei</w:t>
      </w:r>
      <w:r>
        <w:rPr/>
        <w:t xml:space="preserve">, </w:t>
      </w:r>
      <w:r>
        <w:rPr>
          <w:i/>
          <w:iCs/>
        </w:rPr>
        <w:t>ximforá</w:t>
      </w:r>
      <w:r>
        <w:rPr/>
        <w:t xml:space="preserve"> [Els tres primers: infeliç, desgraciat; el penúltim: ser infeliç, tenir mala sort; l’últim: dissort, misèria]. Els «ben nascuts» es consideraven precisament com els «feliços». No havien de construir artificiosament la seva felicitat tot mirant els seus enemics, no s’havien de creure de tant en tant que eren feliços, no havien de dir-se una mentida (com ho acostumen a fer totes les persones que tenen ressentiment). De la mateixa manera, com a homes opulents, carregats de força i, per tant, necessàriament actius, no sabien destriar l l‘acció de la felicitat –segons ells, el fet de ser actiu anava inclòs necessàriament en la felicitat (d’aquí ve l’expressió </w:t>
      </w:r>
      <w:r>
        <w:rPr>
          <w:i/>
          <w:iCs/>
        </w:rPr>
        <w:t>eu pratein</w:t>
      </w:r>
      <w:r>
        <w:rPr/>
        <w:t xml:space="preserve"> (actuar bé, trobar-se bé de salut). Tot això es contraposa en gran mesura a la «felicitat» concebuda en el grau dels impotents, els oprimits, dels qui pateixen les úlceres produïdes per sentiments plens de verí i d’enemistat, segons els quals la felicitat es produeix essencialment comuna narcosi, una anestèsia, una tranquil·litat una pau, un «descans sabàtic», una distensió de les facultats anímiques i un estirament de tots els membres, en un mot, com una cosa passiva. Mentre que l’home noble viu davant seu amb una confiança i una sinceritat (el terme </w:t>
      </w:r>
      <w:r>
        <w:rPr>
          <w:i/>
          <w:iCs/>
        </w:rPr>
        <w:t>genaiós</w:t>
      </w:r>
      <w:r>
        <w:rPr/>
        <w:t xml:space="preserve"> «aristòcrata de naixement», remarca la </w:t>
      </w:r>
      <w:r>
        <w:rPr>
          <w:i/>
          <w:iCs/>
        </w:rPr>
        <w:t>nuance</w:t>
      </w:r>
      <w:r>
        <w:rPr/>
        <w:t xml:space="preserve"> «sincer» i fins i tot «ingenu»), l’home del ressentiment no és sincer, ni ingenu, ni honrat ni directe amb ell mateix. La seva ànima mira amb cobejança, el seu esperit estima els amagatalls, els camins secrets i les portes del darrera, és atret per tot allò que és ocult com si fos el seu món, la seva seguretat, el seu alleujament. Sap de callar, de no oblidar, d’esperar, d’empetitir-se de tant en tant, d’humiliar-se. Una raça com aquesta, la dels homes del ressentiment, ha d’esdevenir necessàriament al capdavall més intel·ligent que qualsevol raça noble. Honora també la intel·ligència en una mesura completament diferent, és a dir, comuna condició existencial de primera categoria. En canvi, en els homes nobles la intel·ligència té un lleu regust de luxe i de refinament en ella mateixa –aquí precisament no és pas ni de lluny tan fonamental com la perfecta seguretat pel que fa a la funció dels instints inconscients que ho regulen tot o bé fins i tot cerca negació de la intel·ligència com és ara el fet d’acarar valerosament i directa el perill, l’enemic, o aquella rauxa exaltada pel que fa a la còlera, a l’amor, a la veneració, a l’agraïment i a la venjança, per la qual han estat reconegudes les ànimes nobles en totes les èpoques. El mateix ressentiment de l’home noble, quan s’hi presenta, es duu a terme i s’exhaureix mitjançant una reacció immediata que, per tant, no enverina. D’altra banda, ni tan sols no es presenta en innombrables casos en què esdevé inevitable tocant a tots els febles i impotents. El fet de no poder prendre seriosament durant massa temps els propis enemics, els propis tràngols, àdhuc els propis crims, constitueix el signe de naturaleses fortes i plenes en les quals hi ha un escreix d’energia plàstica que refà, que regenera, que fins i tot oblida (un bon exemple del món modern n’és Mirabeau, el qual no recordava els insults ni les infàmies que hom cometia amb la seva persona i que, per tant, no podia perdonar únicament perquè... ho oblidava tot). Un home d’aquesta mena es desempallega d’un sol cop de moltes bestioles que en altres individus s’amaguen dissimuladament. Només aquí és possible també, tot suposant que sigui possible en general a la terra, el veritable «amor als propis enemics». Que en té, de respecte, pels seus enemics un home noble! I aquest respecte constitueix ja un pont que emmena devers l’amor... L’home noble exigeix que l’enemic sigui una mena de distinció de la seva pròpia persona, no suporta cap altre enemic que aquell en el qual no hi ha res de menyspreable, sinó moltes coses respectables. Imaginem-nos, al contrari, «l’enemic» tal com el concep l’home del ressentiment. En això consisteix precisament el seu acte, la seva creació. Ell ha concebut «l’enemic pervers», «el pervers» per antonomàsia, i concretament com a concepte fonamental a partir del qual s’imagina fins i tot com a imatge invertida i contraposada un «home bo»..., que és ell mateix!</w:t>
      </w:r>
    </w:p>
    <w:p>
      <w:pPr>
        <w:pStyle w:val="Normal"/>
        <w:jc w:val="both"/>
        <w:rPr/>
      </w:pPr>
      <w:r>
        <w:rPr/>
      </w:r>
    </w:p>
    <w:p>
      <w:pPr>
        <w:pStyle w:val="Normal"/>
        <w:jc w:val="both"/>
        <w:rPr/>
      </w:pPr>
      <w:r>
        <w:rPr/>
      </w:r>
    </w:p>
    <w:p>
      <w:pPr>
        <w:pStyle w:val="Normal"/>
        <w:jc w:val="both"/>
        <w:rPr/>
      </w:pPr>
      <w:r>
        <w:rPr>
          <w:b/>
          <w:bCs/>
        </w:rPr>
        <w:t xml:space="preserve">I, 11. </w:t>
      </w:r>
      <w:r>
        <w:rPr/>
        <w:t xml:space="preserve">En l’home noble s’esdevé exactament el contrari: concep la idea fonamental de «bo» d’una forma prèvia i espontània, és a dir, a partir de la seva pròpia persona, i només a partir d’això es fa una idea d’allò que és «dolent». Aquest concepte de «dolent» d’origen noble i aquella idea de «pervers» sorgida de la perola de cervesa que és l’odi insaciable –el primer concepte és una creació posterior, una cosa secundària, un color complementari, mentre que el segon concepte és quelcom d’original, el començament, l’acte veritable dins la concepció d’una moral dels esclaus- són molt diferents, per bé que ambdós termes, «dolent» i «pervers», es contraposen en aparença a la mateixa idea de «bo». Tanmateix, la idea de «bo» no és la mateixa. Basta que hom es pregunti qui és pròpiament «pervers» en el sentit de la moral del ressentiment. La resposta estricta és aquesta: precisament l’«home bo» de l’altra moral, precisament el noble, el poderós, el dominador, simplement acolorat, interpretat i vist de reüll per la mirada plena de verí del ressentiment. En aquest punt, no volem negar una cosa: aquell qui ha conegut els «homes bons» només com a enemics, també no ha conegut res més que enemics perversos, i els mateixos homes que foren reprimits d’una forma tan dura per la moralitat, per la veneració, pels costums, per l’agraïment i sobretot per la vigilància mútua, per la rivalitat </w:t>
      </w:r>
      <w:r>
        <w:rPr>
          <w:i/>
          <w:iCs/>
        </w:rPr>
        <w:t>inter pares</w:t>
      </w:r>
      <w:r>
        <w:rPr/>
        <w:t xml:space="preserve">, aquells homes que d’altra banda es manifestaren en llur capteniment mutu amb una tendència tan creadora pel que fa a la consideració envers els altres, a l’autodomini, a la delicadesa, a la fidelitat, a l’urc i a l’amistat, no són molt millors cap enfora, allí on està l’element aliè, allí on comença la naturalesa aliena, que bèsties de rapinya deixades en llibertat. Allí gaudeixen de la llibertat tocant a qualsevol obligació social, a la selva s’alliberen de la tensió que produeixen una reclusió i un tancament excessius en la pau de la comunitat, tornen a la innocència pròpia de la consciència de les bèsties de rapinya, com a monstres alegres i contents que retornen tal vegada d’un seguit horrible d’assassinats, d’incendis, de violacions, de tortures, amb una insolència i una serenitat anímica similars a la dels estudiants que només han fet una entremaliadura, convençuts que els poetes tindran altra vegada quelcom per a cantar i per a lloar durant molt temps. A la base de totes aquestes races nobles no es pot deixar de reconèixer la bèstia de rapinya, l’esplèndida bèstia rossa que vagareja cobejant despulles i victòries. De tant en tant cal que aquesta base oculta es descarregui. La bèstia ha de sortir fora altra vegada, ha de tornar de bell nou a la selva. En aquesta necessitat tots són iguals: l’aristocràcia romana, l’àrab, la germànica, la japonesa, els herois homèrics, els vikings escandinaus. Pertot arreu a on han anat, les races nobles han deixat el concepte “bàrbar” en tots els seus vestigis. Fins i tot en la seva cultura més enlairada es descobreix una consciència d’aquest fet i una autosatisfacció (per exemple, quan Pèricles diu als seus atenesos en aquella cèlebre oració fúnebre: «La nostra gosadia ha penetrat en totes les terres i en tots els mars, deixant pertot monuments perdurables tant pel que fa al bé com pel que fa al mal»). Aquesta «gosadia» de les races nobles, que es manifesta d’una forma esbojarrada, absurda, sobtada, el caràcter imprevisible i inversemblant de llurs empreses –Pèricles remarca amb orgull la </w:t>
      </w:r>
      <w:r>
        <w:rPr>
          <w:i/>
          <w:iCs/>
        </w:rPr>
        <w:t>razumia</w:t>
      </w:r>
      <w:r>
        <w:rPr/>
        <w:t xml:space="preserve"> [‘despreocupació] dels atenesos-, llur indiferència i llur menyspreu pel que fa a la seguretat, al cos, a la vida, a la comoditat, la seva joia espantosa i la profunditat del plaer que senten en totes les seves destruccions, en totes les voluptuositats que experimenten en la victòria i en la crueltat: tot això es resumí per part d’aquells qui ho patiren en la imatge del «bàrbar», de l’«enemic pervers», com és ara el «got», el «vàndal». La profunda i gèlida desconfiança que suscita l’alemany així que arriba al poder, com torna a passar ara, continua essent un residu d’aquella terror inextingible amb què Europa ha contemplat durant segles la fúria de la bèstia rossa germànica (per bé que entre els antics germànics i nosaltres, els alemanys, gairebé no hi ha cap parentesc ideològic, com tampoc cap parentesc sanguini). Una vegada vaig posar en relleu la perplexitat d’Hesíode quan reflexionava sobre el decurs de les èpoques culturals i intentava d’expressar-les a base de l’or, de l’argent i del bronze. No sabé desfer la contradicció que li oferia el món d’Homer, tan magnífic, però també alhora tan horrorós i violent, sinó fent d’una sola època dues èpoques diferents que aleshores situà en relació correlativa: en primer lloc l’època dels herois i dels semidéus de Troia i de Tebes, tal com aquell món havia restat en la memòria de les generacions nobles que tenien en ell llurs avantpassats, i en segon lloc l’època de bronze, tal com aquell mateix món apareixia. Als ulls dels qui descendien dels humiliats, dels depredats, dels maltractats, dels exiliats, dels venuts com a esclaus, com una època de bronze, tal com hem dit, dura, freda, cruel, sense sentiment i sense consciència, que tot ho xemica i amara de sang. Encara que fos veritat allò que avui dia es considera en tot cas com una «veritat», és a saber, que el sentit de qualsevol cultura sigui precisament el d’extreure de l’animal de rapinya anomenat «home» un animal mansuet i civilitzat, un animal domèstic, indubtablement caldria considerar tots aquells instints de reacció i de ressentiment amb l’ajut dels quals foren humiliades i dominades al capdavall les generacions nobles, conjuntament amb els seus ideals, com els autèntics instruments de la cultura. Amb això, tanmateix, no s’hauria dit pas encara que els portadors d’aquells instints representin alhora personalment la cultura. El contrari no seria solament probable. No. Actualment és quelcom de palès! Aquests portadors dels instints que humilien i que cobegen un rescabalament, els descendents de tot esclavatge, europeu i no europeu, i especialment de qualsevol població preària, representen l’endarreriment de la humanitat! Aquests «instruments de la cultura» són un fet vergonyós de l’home i, en general, són més aviat una sospita, un argument contrari a la «cultura»! Hom pot sentir-se amb tot el dret de témer encara i capguardar-se de la bèstia rossa que es troba al fons de totes les races noble. Això no obstant, ¿qui no preferiria cent vegades més témer, si alhora pot meravellar-se, que no pas deixar de tenir por, però no poder alliberar-se mai més de la visió fastigosa dels descastats, dels éssers empetitits, atrofiats, enverinats? I no constitueix això la nostra fatalitat? Què produeix actualment la repugnància que nosaltres sentim envers «l’home»? Perquè no hi ha cap dubte que nosaltres patim per l’home. No es tracta de por. Es tracta més aviat que ja no tenim res a témer en l’home, que el verm de l’«home» es troba i formigueja en primer terme, que l’«home mansuet», l’home irremissiblement mediocre i ensopit, hagi après a sentir-se com objectiu i cimall, com sentit de la història, com «home superior», que tingui certament un dret de considerar-se d’aquesta manera, per tal com se sent lluny de la multitud de descastats, malalts, cansats, desgastats, a què actualment comença a pudir Europa, i per tant com una cosa si més no relativament encertada, si més no capaç encara de viure, si més no capaç de dir sí a la vida...</w:t>
      </w:r>
    </w:p>
    <w:p>
      <w:pPr>
        <w:pStyle w:val="Normal"/>
        <w:spacing w:lineRule="auto" w:line="240" w:before="240" w:after="240"/>
        <w:jc w:val="both"/>
        <w:rPr/>
      </w:pPr>
      <w:r>
        <w:rPr/>
      </w:r>
    </w:p>
    <w:p>
      <w:pPr>
        <w:pStyle w:val="Normal"/>
        <w:jc w:val="right"/>
        <w:rPr>
          <w:sz w:val="20"/>
          <w:szCs w:val="20"/>
        </w:rPr>
      </w:pPr>
      <w:r>
        <w:rPr>
          <w:sz w:val="20"/>
          <w:szCs w:val="20"/>
        </w:rPr>
        <w:t>—</w:t>
      </w:r>
      <w:r>
        <w:rPr>
          <w:sz w:val="20"/>
          <w:szCs w:val="20"/>
        </w:rPr>
        <w:t xml:space="preserve">Friedrich Nietzsche. </w:t>
      </w:r>
      <w:r>
        <w:rPr>
          <w:i/>
          <w:iCs/>
          <w:sz w:val="20"/>
          <w:szCs w:val="20"/>
        </w:rPr>
        <w:t>La genealogia de la moral.</w:t>
      </w:r>
    </w:p>
    <w:p>
      <w:pPr>
        <w:pStyle w:val="Normal"/>
        <w:jc w:val="right"/>
        <w:rPr>
          <w:sz w:val="20"/>
          <w:szCs w:val="20"/>
        </w:rPr>
      </w:pPr>
      <w:r>
        <w:rPr>
          <w:sz w:val="20"/>
          <w:szCs w:val="20"/>
        </w:rPr>
        <w:t>Barcelona: Edicions 62, 2009,</w:t>
      </w:r>
    </w:p>
    <w:p>
      <w:pPr>
        <w:pStyle w:val="Normal"/>
        <w:jc w:val="right"/>
        <w:rPr/>
      </w:pPr>
      <w:r>
        <w:rPr>
          <w:sz w:val="20"/>
          <w:szCs w:val="20"/>
        </w:rPr>
        <w:t>Primera dissertació, §10 i 11 [59-62]</w:t>
        <w:br/>
        <w:t>Traducció de Joan Leita.</w:t>
      </w:r>
    </w:p>
    <w:sectPr>
      <w:footerReference w:type="default" r:id="rId2"/>
      <w:type w:val="nextPage"/>
      <w:pgSz w:w="11906" w:h="16838"/>
      <w:pgMar w:left="1440" w:right="1440" w:header="0" w:top="1440" w:footer="720" w:bottom="1440" w:gutter="0"/>
      <w:pgNumType w:start="1"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embedRegular r:id="rId1" w:fontKey="{01014A78-CABC-4EF0-12AC-5CD89AEFDE01}"/>
    <w:embedBold r:id="rId2" w:fontKey="{02014A78-CABC-4EF0-12AC-5CD89AEFDE02}"/>
    <w:embedItalic r:id="rId3" w:fontKey="{03014A78-CABC-4EF0-12AC-5CD89AEFDE03}"/>
    <w:embedBoldItalic r:id="rId4" w:fontKey="{04014A78-CABC-4EF0-12AC-5CD89AEFDE04}"/>
  </w:font>
  <w:font w:name="Symbol">
    <w:charset w:val="02"/>
    <w:family w:val="roman"/>
    <w:pitch w:val="variable"/>
    <w:embedRegular r:id="rId5" w:fontKey="{05014A78-CABC-4EF0-12AC-5CD89AEFDE05}"/>
  </w:font>
  <w:font w:name="Arial">
    <w:charset w:val="00"/>
    <w:family w:val="swiss"/>
    <w:pitch w:val="variable"/>
    <w:embedRegular r:id="rId6" w:fontKey="{06014A78-CABC-4EF0-12AC-5CD89AEFDE06}"/>
    <w:embedBold r:id="rId7" w:fontKey="{07014A78-CABC-4EF0-12AC-5CD89AEFDE07}"/>
    <w:embedItalic r:id="rId8" w:fontKey="{08014A78-CABC-4EF0-12AC-5CD89AEFDE08}"/>
    <w:embedBoldItalic r:id="rId9" w:fontKey="{09014A78-CABC-4EF0-12AC-5CD89AEFDE09}"/>
  </w:font>
  <w:font w:name="Liberation Serif">
    <w:altName w:val="Times New Roman"/>
    <w:charset w:val="00"/>
    <w:family w:val="roman"/>
    <w:pitch w:val="variable"/>
    <w:embedRegular r:id="rId10" w:fontKey="{0A014A78-CABC-4EF0-12AC-5CD89AEFDE0A}"/>
    <w:embedBold r:id="rId11" w:fontKey="{0B014A78-CABC-4EF0-12AC-5CD89AEFDE0B}"/>
    <w:embedItalic r:id="rId12" w:fontKey="{0C014A78-CABC-4EF0-12AC-5CD89AEFDE0C}"/>
    <w:embedBoldItalic r:id="rId13" w:fontKey="{0D014A78-CABC-4EF0-12AC-5CD89AEFDE0D}"/>
  </w:font>
  <w:font w:name="Arial">
    <w:charset w:val="00"/>
    <w:family w:val="roman"/>
    <w:pitch w:val="variable"/>
  </w:font>
  <w:font w:name="Liberation Sans">
    <w:altName w:val="Arial"/>
    <w:charset w:val="00"/>
    <w:family w:val="swiss"/>
    <w:pitch w:val="variable"/>
    <w:embedRegular r:id="rId14" w:fontKey="{0E014A78-CABC-4EF0-12AC-5CD89AEFDE0E}"/>
    <w:embedBold r:id="rId15" w:fontKey="{0F014A78-CABC-4EF0-12AC-5CD89AEFDE0F}"/>
    <w:embedItalic r:id="rId16" w:fontKey="{10014A78-CABC-4EF0-12AC-5CD89AEFDE10}"/>
    <w:embedBoldItalic r:id="rId17" w:fontKey="{11014A78-CABC-4EF0-12AC-5CD89AEFDE11}"/>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jc w:val="right"/>
      <w:rPr/>
    </w:pPr>
    <w:r>
      <w:rPr/>
      <w:fldChar w:fldCharType="begin"/>
    </w:r>
    <w:r>
      <w:rPr/>
      <w:instrText> PAGE </w:instrText>
    </w:r>
    <w:r>
      <w:rPr/>
      <w:fldChar w:fldCharType="separate"/>
    </w:r>
    <w:r>
      <w:rPr/>
      <w:t>4</w:t>
    </w:r>
    <w:r>
      <w:rPr/>
      <w:fldChar w:fldCharType="end"/>
    </w:r>
  </w:p>
</w:ftr>
</file>

<file path=word/settings.xml><?xml version="1.0" encoding="utf-8"?>
<w:settings xmlns:w="http://schemas.openxmlformats.org/wordprocessingml/2006/main">
  <w:zoom w:percent="100"/>
  <w:displayBackgroundShape/>
  <w:embedTrueTypeFonts/>
  <w:defaultTabStop w:val="720"/>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n-US" w:eastAsia="zh-CN" w:bidi="hi-IN"/>
      </w:rPr>
    </w:rPrDefault>
    <w:pPrDefault>
      <w:pPr/>
    </w:pPrDefault>
  </w:docDefaults>
  <w:style w:type="paragraph" w:styleId="Normal">
    <w:name w:val="Normal"/>
    <w:qFormat/>
    <w:pPr>
      <w:widowControl w:val="false"/>
      <w:spacing w:lineRule="auto" w:line="276"/>
    </w:pPr>
    <w:rPr>
      <w:rFonts w:ascii="Arial" w:hAnsi="Arial" w:eastAsia="Arial" w:cs="Arial"/>
      <w:color w:val="auto"/>
      <w:kern w:val="0"/>
      <w:sz w:val="22"/>
      <w:szCs w:val="22"/>
      <w:lang w:val="en-US" w:eastAsia="zh-CN" w:bidi="hi-IN"/>
    </w:rPr>
  </w:style>
  <w:style w:type="paragraph" w:styleId="Ttulo1">
    <w:name w:val="Heading 1"/>
    <w:basedOn w:val="Normal1"/>
    <w:next w:val="Normal1"/>
    <w:qFormat/>
    <w:pPr>
      <w:keepNext w:val="true"/>
      <w:keepLines/>
      <w:pageBreakBefore w:val="false"/>
      <w:spacing w:lineRule="auto" w:line="240" w:before="400" w:after="120"/>
    </w:pPr>
    <w:rPr>
      <w:sz w:val="40"/>
      <w:szCs w:val="40"/>
    </w:rPr>
  </w:style>
  <w:style w:type="paragraph" w:styleId="Ttulo2">
    <w:name w:val="Heading 2"/>
    <w:basedOn w:val="Normal1"/>
    <w:next w:val="Normal1"/>
    <w:qFormat/>
    <w:pPr>
      <w:keepNext w:val="true"/>
      <w:keepLines/>
      <w:pageBreakBefore w:val="false"/>
      <w:spacing w:lineRule="auto" w:line="240" w:before="360" w:after="120"/>
    </w:pPr>
    <w:rPr>
      <w:b w:val="false"/>
      <w:bCs w:val="false"/>
      <w:sz w:val="32"/>
      <w:szCs w:val="32"/>
    </w:rPr>
  </w:style>
  <w:style w:type="paragraph" w:styleId="Ttulo3">
    <w:name w:val="Heading 3"/>
    <w:basedOn w:val="Normal1"/>
    <w:next w:val="Normal1"/>
    <w:qFormat/>
    <w:pPr>
      <w:keepNext w:val="true"/>
      <w:keepLines/>
      <w:pageBreakBefore w:val="false"/>
      <w:spacing w:lineRule="auto" w:line="240" w:before="320" w:after="80"/>
    </w:pPr>
    <w:rPr>
      <w:b w:val="false"/>
      <w:bCs w:val="false"/>
      <w:color w:val="434343"/>
      <w:sz w:val="28"/>
      <w:szCs w:val="28"/>
    </w:rPr>
  </w:style>
  <w:style w:type="paragraph" w:styleId="Ttulo4">
    <w:name w:val="Heading 4"/>
    <w:basedOn w:val="Normal1"/>
    <w:next w:val="Normal1"/>
    <w:qFormat/>
    <w:pPr>
      <w:keepNext w:val="true"/>
      <w:keepLines/>
      <w:pageBreakBefore w:val="false"/>
      <w:spacing w:lineRule="auto" w:line="240" w:before="280" w:after="80"/>
    </w:pPr>
    <w:rPr>
      <w:color w:val="666666"/>
      <w:sz w:val="24"/>
      <w:szCs w:val="24"/>
    </w:rPr>
  </w:style>
  <w:style w:type="paragraph" w:styleId="Ttulo5">
    <w:name w:val="Heading 5"/>
    <w:basedOn w:val="Normal1"/>
    <w:next w:val="Normal1"/>
    <w:qFormat/>
    <w:pPr>
      <w:keepNext w:val="true"/>
      <w:keepLines/>
      <w:pageBreakBefore w:val="false"/>
      <w:spacing w:lineRule="auto" w:line="240" w:before="240" w:after="80"/>
    </w:pPr>
    <w:rPr>
      <w:color w:val="666666"/>
      <w:sz w:val="22"/>
      <w:szCs w:val="22"/>
    </w:rPr>
  </w:style>
  <w:style w:type="paragraph" w:styleId="Ttulo6">
    <w:name w:val="Heading 6"/>
    <w:basedOn w:val="Normal1"/>
    <w:next w:val="Normal1"/>
    <w:qFormat/>
    <w:pPr>
      <w:keepNext w:val="true"/>
      <w:keepLines/>
      <w:pageBreakBefore w:val="false"/>
      <w:spacing w:lineRule="auto" w:line="240" w:before="240" w:after="80"/>
    </w:pPr>
    <w:rPr>
      <w:i/>
      <w:iCs/>
      <w:color w:val="666666"/>
      <w:sz w:val="22"/>
      <w:szCs w:val="22"/>
    </w:rPr>
  </w:style>
  <w:style w:type="paragraph" w:styleId="Ttulo">
    <w:name w:val="Título"/>
    <w:basedOn w:val="Normal"/>
    <w:next w:val="Cuerpodetexto"/>
    <w:qFormat/>
    <w:pPr>
      <w:keepNext w:val="true"/>
      <w:spacing w:before="240" w:after="120"/>
    </w:pPr>
    <w:rPr>
      <w:rFonts w:ascii="Liberation Sans" w:hAnsi="Liberation Sans" w:eastAsia="Microsoft YaHei" w:cs="Arial"/>
      <w:sz w:val="28"/>
      <w:szCs w:val="28"/>
    </w:rPr>
  </w:style>
  <w:style w:type="paragraph" w:styleId="Cuerpodetexto">
    <w:name w:val="Body Text"/>
    <w:basedOn w:val="Normal"/>
    <w:pPr>
      <w:spacing w:lineRule="auto" w:line="276" w:before="0" w:after="140"/>
    </w:pPr>
    <w:rPr/>
  </w:style>
  <w:style w:type="paragraph" w:styleId="Lista">
    <w:name w:val="List"/>
    <w:basedOn w:val="Cuerpodetexto"/>
    <w:pPr/>
    <w:rPr>
      <w:rFonts w:cs="Arial"/>
    </w:rPr>
  </w:style>
  <w:style w:type="paragraph" w:styleId="Leyenda">
    <w:name w:val="Caption"/>
    <w:basedOn w:val="Normal"/>
    <w:qFormat/>
    <w:pPr>
      <w:suppressLineNumbers/>
      <w:spacing w:before="120" w:after="120"/>
    </w:pPr>
    <w:rPr>
      <w:rFonts w:cs="Arial"/>
      <w:i/>
      <w:iCs/>
      <w:sz w:val="24"/>
      <w:szCs w:val="24"/>
    </w:rPr>
  </w:style>
  <w:style w:type="paragraph" w:styleId="Ndice">
    <w:name w:val="Índice"/>
    <w:basedOn w:val="Normal"/>
    <w:qFormat/>
    <w:pPr>
      <w:suppressLineNumbers/>
    </w:pPr>
    <w:rPr>
      <w:rFonts w:cs="Arial"/>
    </w:rPr>
  </w:style>
  <w:style w:type="paragraph" w:styleId="Normal1" w:default="1">
    <w:name w:val="LO-normal"/>
    <w:qFormat/>
    <w:pPr>
      <w:widowControl/>
      <w:bidi w:val="0"/>
      <w:jc w:val="left"/>
    </w:pPr>
    <w:rPr>
      <w:rFonts w:ascii="Arial" w:hAnsi="Arial" w:eastAsia="Arial" w:cs="Arial"/>
      <w:color w:val="auto"/>
      <w:kern w:val="0"/>
      <w:sz w:val="22"/>
      <w:szCs w:val="22"/>
      <w:lang w:val="en-US" w:eastAsia="zh-CN" w:bidi="hi-IN"/>
    </w:rPr>
  </w:style>
  <w:style w:type="paragraph" w:styleId="Titular">
    <w:name w:val="Title"/>
    <w:basedOn w:val="Normal1"/>
    <w:next w:val="Normal1"/>
    <w:qFormat/>
    <w:pPr>
      <w:keepNext w:val="true"/>
      <w:keepLines/>
      <w:pageBreakBefore w:val="false"/>
      <w:spacing w:lineRule="auto" w:line="240" w:before="0" w:after="60"/>
    </w:pPr>
    <w:rPr>
      <w:sz w:val="52"/>
      <w:szCs w:val="52"/>
    </w:rPr>
  </w:style>
  <w:style w:type="paragraph" w:styleId="Subttulo">
    <w:name w:val="Subtitle"/>
    <w:basedOn w:val="Normal1"/>
    <w:next w:val="Normal1"/>
    <w:qFormat/>
    <w:pPr>
      <w:keepNext w:val="true"/>
      <w:keepLines/>
      <w:pageBreakBefore w:val="false"/>
      <w:spacing w:lineRule="auto" w:line="240" w:before="0" w:after="320"/>
    </w:pPr>
    <w:rPr>
      <w:rFonts w:ascii="Arial" w:hAnsi="Arial" w:eastAsia="Arial" w:cs="Arial"/>
      <w:i w:val="false"/>
      <w:iCs w:val="false"/>
      <w:color w:val="666666"/>
      <w:sz w:val="30"/>
      <w:szCs w:val="30"/>
    </w:rPr>
  </w:style>
  <w:style w:type="paragraph" w:styleId="Piedepgina">
    <w:name w:val="Footer"/>
    <w:basedOn w:val="Normal"/>
    <w:pPr/>
    <w:rPr/>
  </w:style>
  <w:style w:type="table" w:default="1" w:styleId="TableNormal">
    <w:name w:val="TableNormal"/>
    <w:tblPr>
      <w:tblCellMar>
        <w:top w:w="100" w:type="dxa"/>
        <w:left w:w="100" w:type="dxa"/>
        <w:bottom w:w="100" w:type="dxa"/>
        <w:right w:w="10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_rels/fontTable.xml.rels><?xml version="1.0" encoding="UTF-8"?>
<Relationships xmlns="http://schemas.openxmlformats.org/package/2006/relationships"><Relationship Id="rId1" Type="http://schemas.openxmlformats.org/officeDocument/2006/relationships/font" Target="fonts/font1.odttf"/><Relationship Id="rId2" Type="http://schemas.openxmlformats.org/officeDocument/2006/relationships/font" Target="fonts/font2.odttf"/><Relationship Id="rId3" Type="http://schemas.openxmlformats.org/officeDocument/2006/relationships/font" Target="fonts/font3.odttf"/><Relationship Id="rId4" Type="http://schemas.openxmlformats.org/officeDocument/2006/relationships/font" Target="fonts/font4.odttf"/><Relationship Id="rId5" Type="http://schemas.openxmlformats.org/officeDocument/2006/relationships/font" Target="fonts/font5.odttf"/><Relationship Id="rId6" Type="http://schemas.openxmlformats.org/officeDocument/2006/relationships/font" Target="fonts/font6.odttf"/><Relationship Id="rId7" Type="http://schemas.openxmlformats.org/officeDocument/2006/relationships/font" Target="fonts/font7.odttf"/><Relationship Id="rId8" Type="http://schemas.openxmlformats.org/officeDocument/2006/relationships/font" Target="fonts/font8.odttf"/><Relationship Id="rId9" Type="http://schemas.openxmlformats.org/officeDocument/2006/relationships/font" Target="fonts/font9.odttf"/><Relationship Id="rId10" Type="http://schemas.openxmlformats.org/officeDocument/2006/relationships/font" Target="fonts/font10.odttf"/><Relationship Id="rId11" Type="http://schemas.openxmlformats.org/officeDocument/2006/relationships/font" Target="fonts/font11.odttf"/><Relationship Id="rId12" Type="http://schemas.openxmlformats.org/officeDocument/2006/relationships/font" Target="fonts/font12.odttf"/><Relationship Id="rId13" Type="http://schemas.openxmlformats.org/officeDocument/2006/relationships/font" Target="fonts/font13.odttf"/><Relationship Id="rId14" Type="http://schemas.openxmlformats.org/officeDocument/2006/relationships/font" Target="fonts/font14.odttf"/><Relationship Id="rId15" Type="http://schemas.openxmlformats.org/officeDocument/2006/relationships/font" Target="fonts/font15.odttf"/><Relationship Id="rId16" Type="http://schemas.openxmlformats.org/officeDocument/2006/relationships/font" Target="fonts/font16.odttf"/><Relationship Id="rId17" Type="http://schemas.openxmlformats.org/officeDocument/2006/relationships/font" Target="fonts/font17.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LibreOffice/6.1.3.2$Windows_X86_64 LibreOffice_project/86daf60bf00efa86ad547e59e09d6bb77c699acb</Application>
  <Pages>4</Pages>
  <Words>2499</Words>
  <Characters>12849</Characters>
  <CharactersWithSpaces>15340</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es-ES</dc:language>
  <cp:lastModifiedBy/>
  <dcterms:modified xsi:type="dcterms:W3CDTF">2026-04-21T07:08:45Z</dcterms:modified>
  <cp:revision>1</cp:revision>
  <dc:subject/>
  <dc:title/>
</cp:coreProperties>
</file>