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notes.xml" ContentType="application/vnd.openxmlformats-officedocument.wordprocessingml.footnotes+xml"/>
  <Override PartName="/word/fontTable.xml" ContentType="application/vnd.openxmlformats-officedocument.wordprocessingml.fontTable+xml"/>
  <Override PartName="/word/fonts/font9.odttf" ContentType="application/vnd.openxmlformats-officedocument.obfuscatedFont"/>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settings.xml" ContentType="application/vnd.openxmlformats-officedocument.wordprocessingml.settings+xml"/>
  <Override PartName="/word/_rels/document.xml.rels" ContentType="application/vnd.openxmlformats-package.relationships+xml"/>
  <Override PartName="/word/_rels/fontTable.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sz w:val="2"/>
          <w:szCs w:val="2"/>
        </w:rPr>
      </w:pPr>
      <w:r>
        <w:rPr>
          <w:sz w:val="2"/>
          <w:szCs w:val="2"/>
        </w:rPr>
        <w:t>AU</w:t>
      </w:r>
    </w:p>
    <w:p>
      <w:pPr>
        <w:pStyle w:val="Normal"/>
        <w:rPr>
          <w:b/>
          <w:b/>
          <w:bCs/>
          <w:sz w:val="28"/>
          <w:szCs w:val="28"/>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rPr>
          <w:b/>
          <w:b/>
          <w:bCs/>
        </w:rPr>
      </w:pPr>
      <w:r>
        <w:rPr>
          <w:b/>
          <w:bCs/>
        </w:rPr>
      </w:r>
    </w:p>
    <w:p>
      <w:pPr>
        <w:pStyle w:val="Normal"/>
        <w:rPr>
          <w:sz w:val="36"/>
          <w:szCs w:val="36"/>
        </w:rPr>
      </w:pPr>
      <w:r>
        <w:rPr>
          <w:b/>
          <w:bCs/>
          <w:i/>
          <w:iCs/>
          <w:sz w:val="36"/>
          <w:szCs w:val="36"/>
        </w:rPr>
        <w:t xml:space="preserve">Aurora </w:t>
      </w:r>
      <w:r>
        <w:rPr>
          <w:sz w:val="36"/>
          <w:szCs w:val="36"/>
        </w:rPr>
        <w:t>(1881)</w:t>
      </w:r>
    </w:p>
    <w:p>
      <w:pPr>
        <w:pStyle w:val="Normal"/>
        <w:rPr>
          <w:sz w:val="26"/>
          <w:szCs w:val="26"/>
        </w:rPr>
      </w:pPr>
      <w:r>
        <w:rPr>
          <w:sz w:val="32"/>
          <w:szCs w:val="32"/>
        </w:rPr>
        <w:t>de Friedrich Nietzsche</w:t>
      </w:r>
    </w:p>
    <w:p>
      <w:pPr>
        <w:pStyle w:val="Normal"/>
        <w:rPr/>
      </w:pPr>
      <w:r>
        <w:rPr/>
      </w:r>
    </w:p>
    <w:p>
      <w:pPr>
        <w:pStyle w:val="Normal"/>
        <w:rPr>
          <w:sz w:val="28"/>
          <w:szCs w:val="28"/>
        </w:rPr>
      </w:pPr>
      <w:r>
        <w:rPr>
          <w:sz w:val="28"/>
          <w:szCs w:val="28"/>
        </w:rPr>
        <w:t>Secció 132</w:t>
      </w:r>
    </w:p>
    <w:p>
      <w:pPr>
        <w:pStyle w:val="Normal"/>
        <w:rPr>
          <w:sz w:val="24"/>
          <w:szCs w:val="24"/>
        </w:rPr>
      </w:pPr>
      <w:r>
        <w:rPr>
          <w:sz w:val="24"/>
          <w:szCs w:val="24"/>
        </w:rPr>
      </w:r>
    </w:p>
    <w:p>
      <w:pPr>
        <w:pStyle w:val="Normal"/>
        <w:jc w:val="both"/>
        <w:rPr>
          <w:b/>
          <w:b/>
          <w:bCs/>
        </w:rPr>
      </w:pPr>
      <w:r>
        <w:rPr>
          <w:b/>
          <w:bCs/>
        </w:rPr>
        <w:t>[1] [L’actual moral de la compassió defensada pels il·lustrats i el socialisme propugna com a principi de l’acció l’empatia, l’amor al proïsme, el desinterès i la utilitat pública i social. Aquest és l’efecte principal del cristianisme, encara que en un principi defensava egoistament la salvació individual]</w:t>
      </w:r>
    </w:p>
    <w:p>
      <w:pPr>
        <w:pStyle w:val="Normal"/>
        <w:jc w:val="both"/>
        <w:rPr/>
      </w:pPr>
      <w:r>
        <w:rPr/>
      </w:r>
    </w:p>
    <w:p>
      <w:pPr>
        <w:pStyle w:val="Normal"/>
        <w:jc w:val="both"/>
        <w:rPr/>
      </w:pPr>
      <w:r>
        <w:rPr/>
        <w:t>Els últims ecos del cristianisme en la moral. «</w:t>
      </w:r>
      <w:r>
        <w:rPr>
          <w:i/>
          <w:iCs/>
        </w:rPr>
        <w:t>On n’est bon que par la pitié: il faut doncs qu’il y ait qualque pitié dans tous nos sentiments.</w:t>
      </w:r>
      <w:r>
        <w:rPr/>
        <w:t>»</w:t>
      </w:r>
      <w:r>
        <w:rPr>
          <w:rStyle w:val="Ancladenotaalpie"/>
          <w:vertAlign w:val="superscript"/>
        </w:rPr>
        <w:footnoteReference w:id="2"/>
      </w:r>
      <w:r>
        <w:rPr/>
        <w:t xml:space="preserve"> Així sona ara la moral! D’on ve això? El fet que ara es consideri que és </w:t>
      </w:r>
      <w:r>
        <w:rPr>
          <w:i/>
          <w:iCs/>
        </w:rPr>
        <w:t>moral</w:t>
      </w:r>
      <w:r>
        <w:rPr/>
        <w:t xml:space="preserve"> l’home les accions del qual mostren empatia i desinterès i són d’utilitat pública i social és probablement l’efecte principal, el canvi d’ànim més generalitzat que el cristianisme ha produït a Europa, encara que aquesta no fos la seva intenció ni la seva doctrina. No obstant això, aquest va ser el </w:t>
      </w:r>
      <w:r>
        <w:rPr>
          <w:i/>
          <w:iCs/>
        </w:rPr>
        <w:t>residuum</w:t>
      </w:r>
      <w:r>
        <w:rPr>
          <w:rStyle w:val="Ancladenotaalpie"/>
          <w:vertAlign w:val="superscript"/>
        </w:rPr>
        <w:footnoteReference w:id="3"/>
      </w:r>
      <w:r>
        <w:rPr>
          <w:i/>
          <w:iCs/>
        </w:rPr>
        <w:t xml:space="preserve"> </w:t>
      </w:r>
      <w:r>
        <w:rPr/>
        <w:t xml:space="preserve">que va deixar l’ànim cristià en anar retrocedint a poc a poc la creença bàsica, radicalment egoista i totalment contraposada, que «una sola cosa és necessària», la importància absoluta de la salvació eterna i </w:t>
      </w:r>
      <w:r>
        <w:rPr>
          <w:i/>
          <w:iCs/>
        </w:rPr>
        <w:t>personal</w:t>
      </w:r>
      <w:r>
        <w:rPr/>
        <w:t xml:space="preserve">, juntament amb els dogmes en què descansava, i així va passar a primer pla la creença, abans secundària, en l’«amor», l’«amor al proïsme», en consonància amb la pràctica incongruent de la caritat per part de l’Església. Com més se separava hom dels dogmes, més es buscava, com qui diu, la </w:t>
      </w:r>
      <w:r>
        <w:rPr>
          <w:i/>
          <w:iCs/>
        </w:rPr>
        <w:t>justificació</w:t>
      </w:r>
      <w:r>
        <w:rPr/>
        <w:t xml:space="preserve"> d’aquesta separació en el conreu de l’amor humà: aquesta qüestió, el fet de no allunyar-se de l’ideal cristià, sinó en la mesura que es pugui </w:t>
      </w:r>
      <w:r>
        <w:rPr>
          <w:i/>
          <w:iCs/>
        </w:rPr>
        <w:t>superar-lo</w:t>
      </w:r>
      <w:r>
        <w:rPr/>
        <w:t xml:space="preserve">, va ser l’estímul secret de tots els Iliurepensadors francesos, des de Voltaire fins a Auguste Comte, i aquest últim, amb la seva coneguda fórmula moral, </w:t>
      </w:r>
      <w:r>
        <w:rPr>
          <w:i/>
          <w:iCs/>
        </w:rPr>
        <w:t>vivre pour autrui</w:t>
      </w:r>
      <w:r>
        <w:rPr/>
        <w:t>,</w:t>
      </w:r>
      <w:r>
        <w:rPr>
          <w:rStyle w:val="Ancladenotaalpie"/>
          <w:vertAlign w:val="superscript"/>
        </w:rPr>
        <w:footnoteReference w:id="4"/>
      </w:r>
      <w:r>
        <w:rPr/>
        <w:t xml:space="preserve"> va arribar a ser, de fet, més cristià que el cristianisme. En terra alemanya ha estat Schopenhauer i en l’anglesa, John Stuart Mill, els que han donat la seva màxima celebritat a la doctrina que el principi de l’acció ha d’estar en els afectes de la simpatia i la compassió o el benefici dels altres. Encara que ells no fossin sinó un eco, aquestes doctrines van brotar com qui diu per tot arreu amb enorme puixança en totes les formes, des de les més barroeres fins a les més delicades, més o menys des de l’època de la Revolució Francesa, i al sòl comú d’aquestes doctrines s’han plantat de manera espontània tots els sistemes socialistes. Probablement no hi ha avui dia un prejudici més admès que aquest: que un sap què és el que s’entén veritablement per moral. Sembla que a tothom li va bé sentir que la societat està en camí d’aconseguir que l’individu s’adapti a les necessitats generals i que la felicitat i, alhora, el sacrifici de l’individu consisteixen precisament a sentir-se un membre útil, un instrument de la totalitat, però de moment no se sap encara gaire bé on cal buscar aquesta totalitat, si en un estat ja existent, en un que caldria fundar, en la nació, en l’agermanament dels pobles o en comunitats econòmiques noves i petites.</w:t>
      </w:r>
    </w:p>
    <w:p>
      <w:pPr>
        <w:pStyle w:val="Normal"/>
        <w:jc w:val="both"/>
        <w:rPr/>
      </w:pPr>
      <w:r>
        <w:rPr/>
      </w:r>
    </w:p>
    <w:p>
      <w:pPr>
        <w:pStyle w:val="Normal"/>
        <w:jc w:val="both"/>
        <w:rPr>
          <w:b/>
          <w:b/>
          <w:bCs/>
        </w:rPr>
      </w:pPr>
      <w:r>
        <w:rPr>
          <w:b/>
          <w:bCs/>
        </w:rPr>
        <w:t>[2] [El corrent moral de fons que domina ara Europa busca afeblir i anul·lar l'individu i considera bo només allò que beneficia la col·lectivitat]</w:t>
      </w:r>
    </w:p>
    <w:p>
      <w:pPr>
        <w:pStyle w:val="Normal"/>
        <w:jc w:val="both"/>
        <w:rPr/>
      </w:pPr>
      <w:r>
        <w:rPr/>
      </w:r>
    </w:p>
    <w:p>
      <w:pPr>
        <w:pStyle w:val="Normal"/>
        <w:jc w:val="both"/>
        <w:rPr/>
      </w:pPr>
      <w:r>
        <w:rPr/>
        <w:t xml:space="preserve">Tot això dona lloc a molta reflexió, hi ha molts dubtes i discussions, molta convulsió i apassionament, però el més extraordinari i harmoniós és la coincidència a exigir que l'ego hagi de negar-se a si mateix fins que, un cop s'hagi adaptat a la totalitat, pugui recuperar la seva esfera de drets i obligacions, fins que hagi aparegut alguna cosa totalment nova i diferent. Es reconegui o no, el que es pretén és ni més ni menys que una reforma radical de l'individu, és a dir, afeblir-lo i anul·lar-lo: hom no es cansa de fer recompte i de denunciar tot el mal i l'hostilitat, el malbaratament, la carestia i el luxe que la forma d'existència individual que havia existit fins ara comporta, i es confia que si només queden grans col·lectivitats amb els seus membres, </w:t>
      </w:r>
      <w:r>
        <w:rPr>
          <w:i/>
          <w:iCs/>
        </w:rPr>
        <w:t>grosse Körper und deren Glieder</w:t>
      </w:r>
      <w:r>
        <w:rPr/>
        <w:t>, literalment «cossos grossos i els seus membres», l’organització econòmica serà més barata, inofensiva, equilibrada i unificada. Tot el que contribueixi a donar forma directa o indirecta a aquestes col·lectivitats i aquests membres es considera bo. Aquest és el corrent moral de fons de la nostra època, en el qual es barregen fins a confondre’s empatia i sensibilitat social. Kant es manté fora d’aquest moviment: ell diu expressament que, perquè el nostre benestar tingui un valor moral, hem de ser insensibles al patiment aliè, cosa que Schopenhauer, molt indignat, com és comprensible, anomena «l’absurd kantià».</w:t>
      </w:r>
    </w:p>
    <w:p>
      <w:pPr>
        <w:pStyle w:val="Normal"/>
        <w:jc w:val="both"/>
        <w:rPr/>
      </w:pPr>
      <w:r>
        <w:rPr/>
      </w:r>
    </w:p>
    <w:p>
      <w:pPr>
        <w:pStyle w:val="Normal"/>
        <w:jc w:val="both"/>
        <w:rPr/>
      </w:pPr>
      <w:r>
        <w:rPr/>
      </w:r>
    </w:p>
    <w:p>
      <w:pPr>
        <w:pStyle w:val="Normal"/>
        <w:jc w:val="right"/>
        <w:rPr>
          <w:sz w:val="20"/>
          <w:szCs w:val="20"/>
        </w:rPr>
      </w:pPr>
      <w:r>
        <w:rPr>
          <w:sz w:val="20"/>
          <w:szCs w:val="20"/>
        </w:rPr>
        <w:t>—</w:t>
      </w:r>
      <w:r>
        <w:rPr>
          <w:sz w:val="20"/>
          <w:szCs w:val="20"/>
        </w:rPr>
        <w:t xml:space="preserve">Friedrich Nietzsche. </w:t>
      </w:r>
      <w:r>
        <w:rPr>
          <w:i/>
          <w:iCs/>
          <w:sz w:val="20"/>
          <w:szCs w:val="20"/>
        </w:rPr>
        <w:t>Aurora,</w:t>
      </w:r>
    </w:p>
    <w:p>
      <w:pPr>
        <w:pStyle w:val="Normal"/>
        <w:jc w:val="right"/>
        <w:rPr/>
      </w:pPr>
      <w:r>
        <w:rPr>
          <w:sz w:val="20"/>
          <w:szCs w:val="20"/>
        </w:rPr>
        <w:t>dins de José Vidal González Barredo,</w:t>
        <w:br/>
        <w:t xml:space="preserve"> </w:t>
      </w:r>
      <w:r>
        <w:rPr>
          <w:i/>
          <w:iCs/>
          <w:sz w:val="20"/>
          <w:szCs w:val="20"/>
        </w:rPr>
        <w:t>Noesi. Textos de filosofia per a les PAU 2024</w:t>
      </w:r>
      <w:r>
        <w:rPr>
          <w:sz w:val="20"/>
          <w:szCs w:val="20"/>
        </w:rPr>
        <w:t>, 447-449.</w:t>
      </w:r>
    </w:p>
    <w:p>
      <w:pPr>
        <w:pStyle w:val="Normal"/>
        <w:jc w:val="right"/>
        <w:rPr/>
      </w:pPr>
      <w:r>
        <w:rPr/>
        <mc:AlternateContent>
          <mc:Choice Requires="wps">
            <w:drawing>
              <wp:inline distT="0" distB="0" distL="0" distR="0">
                <wp:extent cx="5732145" cy="19685"/>
                <wp:effectExtent l="0" t="0" r="0" b="0"/>
                <wp:docPr id="2" name=""/>
                <a:graphic xmlns:a="http://schemas.openxmlformats.org/drawingml/2006/main">
                  <a:graphicData uri="http://schemas.microsoft.com/office/word/2010/wordprocessingShape">
                    <wps:wsp>
                      <wps:cNvSpPr/>
                      <wps:nvSpPr>
                        <wps:cNvPr id="1" name="Rectangle 1"/>
                        <wps:cNvSpPr/>
                      </wps:nvSpPr>
                      <wps:spPr>
                        <a:xfrm>
                          <a:off x="0" y="0"/>
                          <a:ext cx="573156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451.25pt;height:1.45pt;mso-position-horizontal:center;mso-position-vertical:top">
                <w10:wrap type="none"/>
                <v:fill o:detectmouseclick="t" type="solid" color2="#5f5f5f"/>
                <v:stroke color="#3465a4" joinstyle="round" endcap="flat"/>
              </v:rect>
            </w:pict>
          </mc:Fallback>
        </mc:AlternateContent>
      </w:r>
    </w:p>
    <w:sectPr>
      <w:headerReference w:type="default" r:id="rId2"/>
      <w:footerReference w:type="default" r:id="rId3"/>
      <w:footnotePr>
        <w:numFmt w:val="decimal"/>
      </w:footnotePr>
      <w:type w:val="nextPage"/>
      <w:pgSz w:w="11906" w:h="16838"/>
      <w:pgMar w:left="1440" w:right="1440" w:header="72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2</w:t>
    </w:r>
    <w:r>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Normal"/>
        <w:spacing w:lineRule="auto" w:line="240"/>
        <w:jc w:val="both"/>
        <w:rPr/>
      </w:pPr>
      <w:r>
        <w:rPr>
          <w:rStyle w:val="Caracteresdenotaalpie"/>
        </w:rPr>
        <w:footnoteRef/>
      </w:r>
      <w:r>
        <w:rPr>
          <w:sz w:val="20"/>
          <w:szCs w:val="20"/>
        </w:rPr>
        <w:t xml:space="preserve"> </w:t>
      </w:r>
      <w:r>
        <w:rPr>
          <w:sz w:val="20"/>
          <w:szCs w:val="20"/>
        </w:rPr>
        <w:t>Som bons només per la compassió, així doncs, hi ha d’haver compassió en tots els nostres sentiments.</w:t>
      </w:r>
    </w:p>
  </w:footnote>
  <w:footnote w:id="3">
    <w:p>
      <w:pPr>
        <w:pStyle w:val="Normal"/>
        <w:spacing w:lineRule="auto" w:line="240"/>
        <w:rPr/>
      </w:pPr>
      <w:r>
        <w:rPr>
          <w:rStyle w:val="Caracteresdenotaalpie"/>
        </w:rPr>
        <w:footnoteRef/>
      </w:r>
      <w:r>
        <w:rPr>
          <w:sz w:val="20"/>
          <w:szCs w:val="20"/>
        </w:rPr>
        <w:t xml:space="preserve"> </w:t>
      </w:r>
      <w:r>
        <w:rPr>
          <w:sz w:val="20"/>
          <w:szCs w:val="20"/>
        </w:rPr>
        <w:t>Residu.</w:t>
      </w:r>
    </w:p>
  </w:footnote>
  <w:footnote w:id="4">
    <w:p>
      <w:pPr>
        <w:pStyle w:val="Normal"/>
        <w:spacing w:lineRule="auto" w:line="240"/>
        <w:rPr/>
      </w:pPr>
      <w:r>
        <w:rPr>
          <w:rStyle w:val="Caracteresdenotaalpie"/>
        </w:rPr>
        <w:footnoteRef/>
      </w:r>
      <w:r>
        <w:rPr>
          <w:sz w:val="20"/>
          <w:szCs w:val="20"/>
        </w:rPr>
        <w:t xml:space="preserve"> </w:t>
      </w:r>
      <w:r>
        <w:rPr>
          <w:sz w:val="20"/>
          <w:szCs w:val="20"/>
        </w:rPr>
        <w:t>Viure per als altres.</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hdr>
</file>

<file path=word/settings.xml><?xml version="1.0" encoding="utf-8"?>
<w:settings xmlns:w="http://schemas.openxmlformats.org/wordprocessingml/2006/main">
  <w:zoom w:percent="100"/>
  <w:displayBackgroundShape/>
  <w:embedTrueTypeFonts/>
  <w:defaultTabStop w:val="720"/>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iCs/>
      <w:color w:val="666666"/>
      <w:sz w:val="22"/>
      <w:szCs w:val="22"/>
    </w:rPr>
  </w:style>
  <w:style w:type="character" w:styleId="Caracteresdenotaalpie">
    <w:name w:val="Caracteres de nota al pie"/>
    <w:qFormat/>
    <w:rPr/>
  </w:style>
  <w:style w:type="character" w:styleId="Ancladenotaalpie">
    <w:name w:val="Ancla de nota al pie"/>
    <w:rPr>
      <w:vertAlign w:val="superscript"/>
    </w:rPr>
  </w:style>
  <w:style w:type="character" w:styleId="Ancladenotafinal">
    <w:name w:val="Ancla de nota final"/>
    <w:rPr>
      <w:vertAlign w:val="superscript"/>
    </w:rPr>
  </w:style>
  <w:style w:type="character" w:styleId="Caracteresdenotafinal">
    <w:name w:val="Caracteres de nota final"/>
    <w:qFormat/>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Notaalpie">
    <w:name w:val="Footnote Text"/>
    <w:basedOn w:val="Normal"/>
    <w:pPr/>
    <w:rPr/>
  </w:style>
  <w:style w:type="paragraph" w:styleId="Cabecera">
    <w:name w:val="Header"/>
    <w:basedOn w:val="Normal"/>
    <w:pPr/>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notes" Target="footnot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2</Pages>
  <Words>810</Words>
  <Characters>4003</Characters>
  <CharactersWithSpaces>4803</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2026-04-21T07:07:14Z</dcterms:modified>
  <cp:revision>1</cp:revision>
  <dc:subject/>
  <dc:title/>
</cp:coreProperties>
</file>